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5618" w14:textId="2BE51985" w:rsidR="00EC2B82" w:rsidRPr="00EC2B82" w:rsidRDefault="00FB2113" w:rsidP="00EC2B82">
      <w:pPr>
        <w:pStyle w:val="FootnoteText"/>
        <w:rPr>
          <w:sz w:val="20"/>
        </w:rPr>
      </w:pPr>
      <w:bookmarkStart w:id="0" w:name="_GoBack"/>
      <w:bookmarkEnd w:id="0"/>
      <w:r>
        <w:rPr>
          <w:sz w:val="20"/>
        </w:rPr>
        <w:t>3241</w:t>
      </w:r>
      <w:r w:rsidR="001C1F9C">
        <w:rPr>
          <w:sz w:val="20"/>
        </w:rPr>
        <w:t>F1</w:t>
      </w:r>
    </w:p>
    <w:p w14:paraId="69417FEC" w14:textId="07D777A5" w:rsidR="00EC2B82" w:rsidRPr="00415C11" w:rsidRDefault="00A2527C" w:rsidP="00415C11">
      <w:pPr>
        <w:pStyle w:val="FootnoteText"/>
        <w:spacing w:after="240"/>
        <w:rPr>
          <w:sz w:val="24"/>
          <w:szCs w:val="24"/>
        </w:rPr>
      </w:pPr>
      <w:r w:rsidRPr="00EB2AE4">
        <w:rPr>
          <w:i/>
          <w:iCs/>
          <w:sz w:val="24"/>
          <w:szCs w:val="24"/>
        </w:rPr>
        <w:t>Example District</w:t>
      </w:r>
      <w:r w:rsidRPr="00EB2AE4">
        <w:rPr>
          <w:sz w:val="24"/>
          <w:szCs w:val="24"/>
        </w:rPr>
        <w:t xml:space="preserve"> Discipline Matrix</w:t>
      </w:r>
      <w:r w:rsidR="00EC2B82">
        <w:rPr>
          <w:rStyle w:val="EndnoteReference"/>
          <w:szCs w:val="24"/>
        </w:rPr>
        <w:endnoteReference w:id="1"/>
      </w:r>
    </w:p>
    <w:tbl>
      <w:tblPr>
        <w:tblStyle w:val="TableGrid"/>
        <w:tblW w:w="133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56"/>
        <w:gridCol w:w="1296"/>
        <w:gridCol w:w="1296"/>
        <w:gridCol w:w="720"/>
        <w:gridCol w:w="864"/>
        <w:gridCol w:w="864"/>
        <w:gridCol w:w="1296"/>
        <w:gridCol w:w="3600"/>
      </w:tblGrid>
      <w:tr w:rsidR="00EC2B82" w14:paraId="7147E865" w14:textId="77777777" w:rsidTr="00E666E4">
        <w:trPr>
          <w:trHeight w:val="518"/>
          <w:tblHeader/>
        </w:trPr>
        <w:tc>
          <w:tcPr>
            <w:tcW w:w="3456" w:type="dxa"/>
            <w:vMerge w:val="restart"/>
            <w:tcBorders>
              <w:top w:val="single" w:sz="12" w:space="0" w:color="auto"/>
              <w:bottom w:val="single" w:sz="8" w:space="0" w:color="auto"/>
            </w:tcBorders>
            <w:vAlign w:val="center"/>
          </w:tcPr>
          <w:p w14:paraId="12F7C139" w14:textId="77777777" w:rsidR="00EC2B82" w:rsidRDefault="00EC2B82" w:rsidP="002B27C1">
            <w:pPr>
              <w:jc w:val="center"/>
              <w:rPr>
                <w:rFonts w:ascii="Verdana" w:hAnsi="Verdana" w:cs="Times New Roman"/>
                <w:sz w:val="24"/>
                <w:szCs w:val="24"/>
              </w:rPr>
            </w:pPr>
            <w:bookmarkStart w:id="1" w:name="_Hlk37347211"/>
            <w:r w:rsidRPr="0025109A">
              <w:rPr>
                <w:rFonts w:ascii="Verdana" w:hAnsi="Verdana" w:cs="Times New Roman"/>
                <w:sz w:val="24"/>
                <w:szCs w:val="24"/>
              </w:rPr>
              <w:t>Behavioral Violation</w:t>
            </w:r>
            <w:r>
              <w:rPr>
                <w:rStyle w:val="EndnoteReference"/>
                <w:rFonts w:cs="Times New Roman"/>
                <w:szCs w:val="24"/>
              </w:rPr>
              <w:endnoteReference w:id="2"/>
            </w:r>
          </w:p>
          <w:p w14:paraId="0DFBAFE8" w14:textId="7AA8F278" w:rsidR="00EC2B82" w:rsidRPr="0025109A" w:rsidRDefault="00EC2B82" w:rsidP="002B27C1">
            <w:pPr>
              <w:jc w:val="center"/>
              <w:rPr>
                <w:rFonts w:ascii="Verdana" w:hAnsi="Verdana" w:cs="Times New Roman"/>
                <w:sz w:val="24"/>
                <w:szCs w:val="24"/>
              </w:rPr>
            </w:pPr>
            <w:r>
              <w:rPr>
                <w:rFonts w:ascii="Verdana" w:hAnsi="Verdana" w:cs="Times New Roman"/>
                <w:sz w:val="24"/>
                <w:szCs w:val="24"/>
              </w:rPr>
              <w:t>&amp; Severity Level</w:t>
            </w:r>
            <w:r>
              <w:rPr>
                <w:rStyle w:val="EndnoteReference"/>
                <w:rFonts w:cs="Times New Roman"/>
                <w:szCs w:val="24"/>
              </w:rPr>
              <w:endnoteReference w:id="3"/>
            </w:r>
          </w:p>
        </w:tc>
        <w:tc>
          <w:tcPr>
            <w:tcW w:w="9936" w:type="dxa"/>
            <w:gridSpan w:val="7"/>
            <w:tcBorders>
              <w:top w:val="single" w:sz="12" w:space="0" w:color="auto"/>
              <w:bottom w:val="single" w:sz="8" w:space="0" w:color="auto"/>
            </w:tcBorders>
            <w:vAlign w:val="center"/>
          </w:tcPr>
          <w:p w14:paraId="49F5AF03" w14:textId="0A665C1C" w:rsidR="00EC2B82" w:rsidRPr="0025109A" w:rsidRDefault="00EC2B82" w:rsidP="00E666E4">
            <w:pPr>
              <w:jc w:val="center"/>
              <w:rPr>
                <w:rFonts w:ascii="Verdana" w:hAnsi="Verdana" w:cs="Times New Roman"/>
                <w:sz w:val="24"/>
                <w:szCs w:val="24"/>
              </w:rPr>
            </w:pPr>
            <w:r w:rsidRPr="0025109A">
              <w:rPr>
                <w:rFonts w:ascii="Verdana" w:hAnsi="Verdana" w:cs="Times New Roman"/>
                <w:sz w:val="24"/>
                <w:szCs w:val="24"/>
              </w:rPr>
              <w:t>Range of potential responses based on conditions</w:t>
            </w:r>
            <w:r>
              <w:rPr>
                <w:rFonts w:ascii="Verdana" w:hAnsi="Verdana" w:cs="Times New Roman"/>
                <w:sz w:val="24"/>
                <w:szCs w:val="24"/>
              </w:rPr>
              <w:t xml:space="preserve">, </w:t>
            </w:r>
            <w:r w:rsidRPr="0025109A">
              <w:rPr>
                <w:rFonts w:ascii="Verdana" w:hAnsi="Verdana" w:cs="Times New Roman"/>
                <w:sz w:val="24"/>
                <w:szCs w:val="24"/>
              </w:rPr>
              <w:t>limitations</w:t>
            </w:r>
            <w:r>
              <w:rPr>
                <w:rFonts w:ascii="Verdana" w:hAnsi="Verdana" w:cs="Times New Roman"/>
                <w:sz w:val="24"/>
                <w:szCs w:val="24"/>
              </w:rPr>
              <w:t>, and interventions</w:t>
            </w:r>
          </w:p>
        </w:tc>
      </w:tr>
      <w:tr w:rsidR="00EC2B82" w14:paraId="5006422B" w14:textId="77777777" w:rsidTr="00567D68">
        <w:trPr>
          <w:tblHeader/>
        </w:trPr>
        <w:tc>
          <w:tcPr>
            <w:tcW w:w="3456" w:type="dxa"/>
            <w:vMerge/>
            <w:tcBorders>
              <w:top w:val="single" w:sz="8" w:space="0" w:color="auto"/>
              <w:bottom w:val="single" w:sz="12" w:space="0" w:color="auto"/>
            </w:tcBorders>
            <w:vAlign w:val="bottom"/>
          </w:tcPr>
          <w:p w14:paraId="2D59DA28" w14:textId="0D94D630" w:rsidR="00EC2B82" w:rsidRPr="0025109A" w:rsidRDefault="00EC2B82" w:rsidP="00A2527C">
            <w:pPr>
              <w:jc w:val="center"/>
              <w:rPr>
                <w:rFonts w:ascii="Verdana" w:hAnsi="Verdana" w:cs="Times New Roman"/>
                <w:sz w:val="24"/>
                <w:szCs w:val="24"/>
              </w:rPr>
            </w:pPr>
          </w:p>
        </w:tc>
        <w:tc>
          <w:tcPr>
            <w:tcW w:w="1296" w:type="dxa"/>
            <w:tcBorders>
              <w:top w:val="single" w:sz="8" w:space="0" w:color="auto"/>
              <w:bottom w:val="single" w:sz="12" w:space="0" w:color="auto"/>
            </w:tcBorders>
            <w:vAlign w:val="center"/>
          </w:tcPr>
          <w:p w14:paraId="6B130AF8" w14:textId="41106C9D" w:rsidR="00EC2B82" w:rsidRPr="0025109A" w:rsidRDefault="00EC2B82" w:rsidP="0049239A">
            <w:pPr>
              <w:jc w:val="center"/>
              <w:rPr>
                <w:rFonts w:ascii="Verdana" w:hAnsi="Verdana" w:cs="Times New Roman"/>
                <w:sz w:val="20"/>
                <w:szCs w:val="20"/>
              </w:rPr>
            </w:pPr>
            <w:r>
              <w:rPr>
                <w:rFonts w:ascii="Verdana" w:hAnsi="Verdana" w:cs="Times New Roman"/>
                <w:sz w:val="20"/>
                <w:szCs w:val="20"/>
              </w:rPr>
              <w:t>Best practices</w:t>
            </w:r>
            <w:r>
              <w:rPr>
                <w:rStyle w:val="EndnoteReference"/>
                <w:rFonts w:cs="Times New Roman"/>
                <w:szCs w:val="20"/>
              </w:rPr>
              <w:endnoteReference w:id="4"/>
            </w:r>
          </w:p>
        </w:tc>
        <w:tc>
          <w:tcPr>
            <w:tcW w:w="1296" w:type="dxa"/>
            <w:tcBorders>
              <w:top w:val="single" w:sz="8" w:space="0" w:color="auto"/>
              <w:bottom w:val="single" w:sz="12" w:space="0" w:color="auto"/>
            </w:tcBorders>
            <w:vAlign w:val="center"/>
          </w:tcPr>
          <w:p w14:paraId="5498AF26" w14:textId="3B864A01" w:rsidR="00EC2B82" w:rsidRPr="0025109A" w:rsidRDefault="00EC2B82" w:rsidP="0049239A">
            <w:pPr>
              <w:jc w:val="center"/>
              <w:rPr>
                <w:rFonts w:ascii="Verdana" w:hAnsi="Verdana" w:cs="Times New Roman"/>
                <w:sz w:val="20"/>
                <w:szCs w:val="20"/>
              </w:rPr>
            </w:pPr>
            <w:r w:rsidRPr="0025109A">
              <w:rPr>
                <w:rFonts w:ascii="Verdana" w:hAnsi="Verdana" w:cs="Times New Roman"/>
                <w:sz w:val="20"/>
                <w:szCs w:val="20"/>
              </w:rPr>
              <w:t>Classroom exclusion</w:t>
            </w:r>
          </w:p>
        </w:tc>
        <w:tc>
          <w:tcPr>
            <w:tcW w:w="720" w:type="dxa"/>
            <w:tcBorders>
              <w:top w:val="single" w:sz="8" w:space="0" w:color="auto"/>
              <w:bottom w:val="single" w:sz="12" w:space="0" w:color="auto"/>
            </w:tcBorders>
            <w:vAlign w:val="center"/>
          </w:tcPr>
          <w:p w14:paraId="008423BE" w14:textId="65998763" w:rsidR="00EC2B82" w:rsidRPr="0025109A" w:rsidRDefault="00EC2B82" w:rsidP="0049239A">
            <w:pPr>
              <w:jc w:val="center"/>
              <w:rPr>
                <w:rFonts w:ascii="Verdana" w:hAnsi="Verdana" w:cs="Times New Roman"/>
                <w:sz w:val="20"/>
                <w:szCs w:val="20"/>
              </w:rPr>
            </w:pPr>
            <w:r w:rsidRPr="0025109A">
              <w:rPr>
                <w:rFonts w:ascii="Verdana" w:hAnsi="Verdana" w:cs="Times New Roman"/>
                <w:sz w:val="20"/>
                <w:szCs w:val="20"/>
              </w:rPr>
              <w:t>ISS</w:t>
            </w:r>
          </w:p>
        </w:tc>
        <w:tc>
          <w:tcPr>
            <w:tcW w:w="864" w:type="dxa"/>
            <w:tcBorders>
              <w:top w:val="single" w:sz="8" w:space="0" w:color="auto"/>
              <w:bottom w:val="single" w:sz="12" w:space="0" w:color="auto"/>
            </w:tcBorders>
            <w:vAlign w:val="center"/>
          </w:tcPr>
          <w:p w14:paraId="685BE8D1" w14:textId="13B8FC4B" w:rsidR="00EC2B82" w:rsidRPr="0025109A" w:rsidRDefault="00EC2B82" w:rsidP="0049239A">
            <w:pPr>
              <w:jc w:val="center"/>
              <w:rPr>
                <w:rFonts w:ascii="Verdana" w:hAnsi="Verdana" w:cs="Times New Roman"/>
                <w:sz w:val="20"/>
                <w:szCs w:val="20"/>
              </w:rPr>
            </w:pPr>
            <w:r w:rsidRPr="0025109A">
              <w:rPr>
                <w:rFonts w:ascii="Verdana" w:hAnsi="Verdana" w:cs="Times New Roman"/>
                <w:sz w:val="20"/>
                <w:szCs w:val="20"/>
              </w:rPr>
              <w:t xml:space="preserve">OSS </w:t>
            </w:r>
            <w:r>
              <w:rPr>
                <w:rFonts w:ascii="Verdana" w:hAnsi="Verdana" w:cs="Times New Roman"/>
                <w:sz w:val="20"/>
                <w:szCs w:val="20"/>
              </w:rPr>
              <w:t>s</w:t>
            </w:r>
            <w:r w:rsidRPr="0025109A">
              <w:rPr>
                <w:rFonts w:ascii="Verdana" w:hAnsi="Verdana" w:cs="Times New Roman"/>
                <w:sz w:val="20"/>
                <w:szCs w:val="20"/>
              </w:rPr>
              <w:t>hort</w:t>
            </w:r>
          </w:p>
        </w:tc>
        <w:tc>
          <w:tcPr>
            <w:tcW w:w="864" w:type="dxa"/>
            <w:tcBorders>
              <w:top w:val="single" w:sz="8" w:space="0" w:color="auto"/>
              <w:bottom w:val="single" w:sz="12" w:space="0" w:color="auto"/>
            </w:tcBorders>
            <w:vAlign w:val="center"/>
          </w:tcPr>
          <w:p w14:paraId="28FF8DFE" w14:textId="53B8A7E2" w:rsidR="00EC2B82" w:rsidRPr="0025109A" w:rsidRDefault="00EC2B82" w:rsidP="0049239A">
            <w:pPr>
              <w:jc w:val="center"/>
              <w:rPr>
                <w:rFonts w:ascii="Verdana" w:hAnsi="Verdana" w:cs="Times New Roman"/>
                <w:sz w:val="20"/>
                <w:szCs w:val="20"/>
              </w:rPr>
            </w:pPr>
            <w:r w:rsidRPr="0025109A">
              <w:rPr>
                <w:rFonts w:ascii="Verdana" w:hAnsi="Verdana" w:cs="Times New Roman"/>
                <w:sz w:val="20"/>
                <w:szCs w:val="20"/>
              </w:rPr>
              <w:t xml:space="preserve">OSS </w:t>
            </w:r>
            <w:r>
              <w:rPr>
                <w:rFonts w:ascii="Verdana" w:hAnsi="Verdana" w:cs="Times New Roman"/>
                <w:sz w:val="20"/>
                <w:szCs w:val="20"/>
              </w:rPr>
              <w:t>l</w:t>
            </w:r>
            <w:r w:rsidRPr="0025109A">
              <w:rPr>
                <w:rFonts w:ascii="Verdana" w:hAnsi="Verdana" w:cs="Times New Roman"/>
                <w:sz w:val="20"/>
                <w:szCs w:val="20"/>
              </w:rPr>
              <w:t>ong</w:t>
            </w:r>
          </w:p>
        </w:tc>
        <w:tc>
          <w:tcPr>
            <w:tcW w:w="1296" w:type="dxa"/>
            <w:tcBorders>
              <w:top w:val="single" w:sz="8" w:space="0" w:color="auto"/>
              <w:bottom w:val="single" w:sz="12" w:space="0" w:color="auto"/>
            </w:tcBorders>
            <w:vAlign w:val="center"/>
          </w:tcPr>
          <w:p w14:paraId="6EF71613" w14:textId="3DE6DA86" w:rsidR="00EC2B82" w:rsidRPr="0025109A" w:rsidRDefault="00EC2B82" w:rsidP="0049239A">
            <w:pPr>
              <w:jc w:val="center"/>
              <w:rPr>
                <w:rFonts w:ascii="Verdana" w:hAnsi="Verdana" w:cs="Times New Roman"/>
                <w:sz w:val="20"/>
                <w:szCs w:val="20"/>
              </w:rPr>
            </w:pPr>
            <w:r w:rsidRPr="0025109A">
              <w:rPr>
                <w:rFonts w:ascii="Verdana" w:hAnsi="Verdana" w:cs="Times New Roman"/>
                <w:sz w:val="20"/>
                <w:szCs w:val="20"/>
              </w:rPr>
              <w:t>Expulsion</w:t>
            </w:r>
          </w:p>
        </w:tc>
        <w:tc>
          <w:tcPr>
            <w:tcW w:w="3600" w:type="dxa"/>
            <w:tcBorders>
              <w:top w:val="single" w:sz="8" w:space="0" w:color="auto"/>
              <w:bottom w:val="single" w:sz="12" w:space="0" w:color="auto"/>
            </w:tcBorders>
            <w:vAlign w:val="center"/>
          </w:tcPr>
          <w:p w14:paraId="23780FE3" w14:textId="53C24D2B" w:rsidR="00EC2B82" w:rsidRPr="0025109A" w:rsidRDefault="00EC2B82" w:rsidP="0049239A">
            <w:pPr>
              <w:jc w:val="center"/>
              <w:rPr>
                <w:rFonts w:ascii="Verdana" w:hAnsi="Verdana" w:cs="Times New Roman"/>
                <w:sz w:val="20"/>
                <w:szCs w:val="20"/>
              </w:rPr>
            </w:pPr>
            <w:r w:rsidRPr="0025109A">
              <w:rPr>
                <w:rFonts w:ascii="Verdana" w:hAnsi="Verdana" w:cs="Times New Roman"/>
                <w:sz w:val="20"/>
                <w:szCs w:val="20"/>
              </w:rPr>
              <w:t xml:space="preserve">School </w:t>
            </w:r>
            <w:r>
              <w:rPr>
                <w:rFonts w:ascii="Verdana" w:hAnsi="Verdana" w:cs="Times New Roman"/>
                <w:sz w:val="20"/>
                <w:szCs w:val="20"/>
              </w:rPr>
              <w:t>r</w:t>
            </w:r>
            <w:r w:rsidRPr="0025109A">
              <w:rPr>
                <w:rFonts w:ascii="Verdana" w:hAnsi="Verdana" w:cs="Times New Roman"/>
                <w:sz w:val="20"/>
                <w:szCs w:val="20"/>
              </w:rPr>
              <w:t xml:space="preserve">eferrals and </w:t>
            </w:r>
            <w:r>
              <w:rPr>
                <w:rFonts w:ascii="Verdana" w:hAnsi="Verdana" w:cs="Times New Roman"/>
                <w:sz w:val="20"/>
                <w:szCs w:val="20"/>
              </w:rPr>
              <w:t>p</w:t>
            </w:r>
            <w:r w:rsidRPr="0025109A">
              <w:rPr>
                <w:rFonts w:ascii="Verdana" w:hAnsi="Verdana" w:cs="Times New Roman"/>
                <w:sz w:val="20"/>
                <w:szCs w:val="20"/>
              </w:rPr>
              <w:t>rotocols</w:t>
            </w:r>
            <w:r>
              <w:rPr>
                <w:rStyle w:val="EndnoteReference"/>
                <w:rFonts w:cs="Times New Roman"/>
                <w:szCs w:val="20"/>
              </w:rPr>
              <w:endnoteReference w:id="5"/>
            </w:r>
          </w:p>
        </w:tc>
      </w:tr>
      <w:bookmarkEnd w:id="1"/>
      <w:tr w:rsidR="00EC2B82" w14:paraId="0826AB2D" w14:textId="77777777" w:rsidTr="00E666E4">
        <w:trPr>
          <w:trHeight w:val="615"/>
        </w:trPr>
        <w:tc>
          <w:tcPr>
            <w:tcW w:w="3456" w:type="dxa"/>
            <w:tcBorders>
              <w:top w:val="single" w:sz="12" w:space="0" w:color="auto"/>
              <w:bottom w:val="single" w:sz="12" w:space="0" w:color="auto"/>
            </w:tcBorders>
          </w:tcPr>
          <w:p w14:paraId="6FE57697" w14:textId="77777777" w:rsidR="00EC2B82" w:rsidRPr="0025109A" w:rsidRDefault="00EC2B82" w:rsidP="00E15D0C">
            <w:pPr>
              <w:rPr>
                <w:rFonts w:ascii="Verdana" w:hAnsi="Verdana" w:cs="Times New Roman"/>
                <w:b/>
                <w:bCs/>
                <w:i/>
                <w:iCs/>
                <w:sz w:val="24"/>
                <w:szCs w:val="24"/>
              </w:rPr>
            </w:pPr>
            <w:r w:rsidRPr="0025109A">
              <w:rPr>
                <w:rFonts w:ascii="Verdana" w:hAnsi="Verdana" w:cs="Times New Roman"/>
                <w:b/>
                <w:bCs/>
                <w:i/>
                <w:iCs/>
                <w:sz w:val="24"/>
                <w:szCs w:val="24"/>
              </w:rPr>
              <w:t>Type Six</w:t>
            </w:r>
          </w:p>
          <w:p w14:paraId="1B254922" w14:textId="2DE5437F" w:rsidR="00EC2B82" w:rsidRPr="0025109A" w:rsidRDefault="00EC2B82" w:rsidP="00137ED3">
            <w:pPr>
              <w:spacing w:after="120" w:line="276" w:lineRule="auto"/>
              <w:rPr>
                <w:rFonts w:ascii="Verdana" w:hAnsi="Verdana" w:cs="Times New Roman"/>
                <w:b/>
                <w:bCs/>
                <w:i/>
                <w:iCs/>
                <w:sz w:val="24"/>
                <w:szCs w:val="24"/>
              </w:rPr>
            </w:pPr>
            <w:r w:rsidRPr="0025109A">
              <w:rPr>
                <w:rFonts w:ascii="Verdana" w:hAnsi="Verdana" w:cs="Times New Roman"/>
                <w:sz w:val="20"/>
                <w:szCs w:val="20"/>
              </w:rPr>
              <w:t>Firearm</w:t>
            </w:r>
            <w:r w:rsidRPr="00420166">
              <w:rPr>
                <w:rStyle w:val="EndnoteReference"/>
                <w:rFonts w:cs="Times New Roman"/>
                <w:szCs w:val="16"/>
              </w:rPr>
              <w:endnoteReference w:id="6"/>
            </w:r>
          </w:p>
        </w:tc>
        <w:tc>
          <w:tcPr>
            <w:tcW w:w="1296" w:type="dxa"/>
            <w:tcBorders>
              <w:top w:val="single" w:sz="12" w:space="0" w:color="auto"/>
              <w:bottom w:val="single" w:sz="12" w:space="0" w:color="auto"/>
            </w:tcBorders>
            <w:vAlign w:val="center"/>
          </w:tcPr>
          <w:p w14:paraId="00736B35" w14:textId="122DDDBC"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N/A</w:t>
            </w:r>
          </w:p>
        </w:tc>
        <w:tc>
          <w:tcPr>
            <w:tcW w:w="1296" w:type="dxa"/>
            <w:tcBorders>
              <w:top w:val="single" w:sz="12" w:space="0" w:color="auto"/>
              <w:bottom w:val="single" w:sz="12" w:space="0" w:color="auto"/>
            </w:tcBorders>
            <w:vAlign w:val="center"/>
          </w:tcPr>
          <w:p w14:paraId="66E4792A" w14:textId="0493DABB"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N/A</w:t>
            </w:r>
          </w:p>
        </w:tc>
        <w:tc>
          <w:tcPr>
            <w:tcW w:w="720" w:type="dxa"/>
            <w:tcBorders>
              <w:top w:val="single" w:sz="12" w:space="0" w:color="auto"/>
              <w:bottom w:val="single" w:sz="12" w:space="0" w:color="auto"/>
            </w:tcBorders>
            <w:vAlign w:val="center"/>
          </w:tcPr>
          <w:p w14:paraId="660920D7" w14:textId="70903292"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N/A</w:t>
            </w:r>
          </w:p>
        </w:tc>
        <w:tc>
          <w:tcPr>
            <w:tcW w:w="864" w:type="dxa"/>
            <w:tcBorders>
              <w:top w:val="single" w:sz="12" w:space="0" w:color="auto"/>
              <w:bottom w:val="single" w:sz="12" w:space="0" w:color="auto"/>
            </w:tcBorders>
            <w:vAlign w:val="center"/>
          </w:tcPr>
          <w:p w14:paraId="073DC295" w14:textId="62B3A489"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N/A</w:t>
            </w:r>
          </w:p>
        </w:tc>
        <w:tc>
          <w:tcPr>
            <w:tcW w:w="864" w:type="dxa"/>
            <w:tcBorders>
              <w:top w:val="single" w:sz="12" w:space="0" w:color="auto"/>
              <w:bottom w:val="single" w:sz="12" w:space="0" w:color="auto"/>
            </w:tcBorders>
            <w:vAlign w:val="center"/>
          </w:tcPr>
          <w:p w14:paraId="675E85E0" w14:textId="46A42A49"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N/A</w:t>
            </w:r>
          </w:p>
        </w:tc>
        <w:tc>
          <w:tcPr>
            <w:tcW w:w="1296" w:type="dxa"/>
            <w:tcBorders>
              <w:top w:val="single" w:sz="12" w:space="0" w:color="auto"/>
              <w:bottom w:val="single" w:sz="12" w:space="0" w:color="auto"/>
            </w:tcBorders>
            <w:vAlign w:val="center"/>
          </w:tcPr>
          <w:p w14:paraId="3042C19C" w14:textId="7471EA7C"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Mandatory</w:t>
            </w:r>
          </w:p>
        </w:tc>
        <w:tc>
          <w:tcPr>
            <w:tcW w:w="3600" w:type="dxa"/>
            <w:tcBorders>
              <w:top w:val="single" w:sz="12" w:space="0" w:color="auto"/>
              <w:bottom w:val="single" w:sz="12" w:space="0" w:color="auto"/>
            </w:tcBorders>
            <w:vAlign w:val="center"/>
          </w:tcPr>
          <w:p w14:paraId="0D516F47" w14:textId="29BB5973"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School-based threat assessment referral</w:t>
            </w:r>
            <w:r>
              <w:rPr>
                <w:rStyle w:val="EndnoteReference"/>
                <w:rFonts w:cs="Times New Roman"/>
                <w:szCs w:val="16"/>
              </w:rPr>
              <w:endnoteReference w:id="7"/>
            </w:r>
          </w:p>
        </w:tc>
      </w:tr>
      <w:tr w:rsidR="00EC2B82" w14:paraId="0C49A61A" w14:textId="77777777" w:rsidTr="00BF163C">
        <w:tc>
          <w:tcPr>
            <w:tcW w:w="3456" w:type="dxa"/>
            <w:tcBorders>
              <w:top w:val="single" w:sz="12" w:space="0" w:color="auto"/>
              <w:bottom w:val="nil"/>
            </w:tcBorders>
          </w:tcPr>
          <w:p w14:paraId="7258FDCE" w14:textId="2DFF4CBC" w:rsidR="00EC2B82" w:rsidRPr="0025109A" w:rsidRDefault="00EC2B82">
            <w:pPr>
              <w:rPr>
                <w:rFonts w:ascii="Verdana" w:hAnsi="Verdana" w:cs="Times New Roman"/>
                <w:b/>
                <w:bCs/>
                <w:i/>
                <w:iCs/>
                <w:sz w:val="24"/>
                <w:szCs w:val="24"/>
              </w:rPr>
            </w:pPr>
            <w:r w:rsidRPr="0025109A">
              <w:rPr>
                <w:rFonts w:ascii="Verdana" w:hAnsi="Verdana" w:cs="Times New Roman"/>
                <w:b/>
                <w:bCs/>
                <w:i/>
                <w:iCs/>
                <w:sz w:val="24"/>
                <w:szCs w:val="24"/>
              </w:rPr>
              <w:t>Type Five</w:t>
            </w:r>
          </w:p>
        </w:tc>
        <w:tc>
          <w:tcPr>
            <w:tcW w:w="1296" w:type="dxa"/>
            <w:tcBorders>
              <w:top w:val="single" w:sz="12" w:space="0" w:color="auto"/>
              <w:bottom w:val="nil"/>
            </w:tcBorders>
            <w:vAlign w:val="center"/>
          </w:tcPr>
          <w:p w14:paraId="5B0DC1D1" w14:textId="77777777" w:rsidR="00EC2B82" w:rsidRPr="0025109A" w:rsidRDefault="00EC2B82" w:rsidP="00B353A2">
            <w:pPr>
              <w:jc w:val="center"/>
              <w:rPr>
                <w:rFonts w:ascii="Verdana" w:hAnsi="Verdana" w:cs="Times New Roman"/>
                <w:sz w:val="20"/>
                <w:szCs w:val="20"/>
              </w:rPr>
            </w:pPr>
          </w:p>
        </w:tc>
        <w:tc>
          <w:tcPr>
            <w:tcW w:w="1296" w:type="dxa"/>
            <w:tcBorders>
              <w:top w:val="single" w:sz="12" w:space="0" w:color="auto"/>
              <w:bottom w:val="nil"/>
            </w:tcBorders>
            <w:vAlign w:val="center"/>
          </w:tcPr>
          <w:p w14:paraId="39D1640A" w14:textId="77777777" w:rsidR="00EC2B82" w:rsidRPr="0025109A" w:rsidRDefault="00EC2B82" w:rsidP="00E908AF">
            <w:pPr>
              <w:jc w:val="center"/>
              <w:rPr>
                <w:rFonts w:ascii="Verdana" w:hAnsi="Verdana" w:cs="Times New Roman"/>
                <w:sz w:val="20"/>
                <w:szCs w:val="20"/>
              </w:rPr>
            </w:pPr>
          </w:p>
        </w:tc>
        <w:tc>
          <w:tcPr>
            <w:tcW w:w="720" w:type="dxa"/>
            <w:tcBorders>
              <w:top w:val="single" w:sz="12" w:space="0" w:color="auto"/>
              <w:bottom w:val="nil"/>
            </w:tcBorders>
            <w:vAlign w:val="center"/>
          </w:tcPr>
          <w:p w14:paraId="30F7A9CD" w14:textId="77777777" w:rsidR="00EC2B82" w:rsidRPr="0025109A" w:rsidRDefault="00EC2B82" w:rsidP="00E908AF">
            <w:pPr>
              <w:jc w:val="center"/>
              <w:rPr>
                <w:rFonts w:ascii="Verdana" w:hAnsi="Verdana" w:cs="Times New Roman"/>
                <w:sz w:val="20"/>
                <w:szCs w:val="20"/>
              </w:rPr>
            </w:pPr>
          </w:p>
        </w:tc>
        <w:tc>
          <w:tcPr>
            <w:tcW w:w="864" w:type="dxa"/>
            <w:tcBorders>
              <w:top w:val="single" w:sz="12" w:space="0" w:color="auto"/>
              <w:bottom w:val="nil"/>
            </w:tcBorders>
            <w:vAlign w:val="center"/>
          </w:tcPr>
          <w:p w14:paraId="2839F2F8" w14:textId="77777777" w:rsidR="00EC2B82" w:rsidRPr="0025109A" w:rsidRDefault="00EC2B82" w:rsidP="00E908AF">
            <w:pPr>
              <w:jc w:val="center"/>
              <w:rPr>
                <w:rFonts w:ascii="Verdana" w:hAnsi="Verdana" w:cs="Times New Roman"/>
                <w:sz w:val="20"/>
                <w:szCs w:val="20"/>
              </w:rPr>
            </w:pPr>
          </w:p>
        </w:tc>
        <w:tc>
          <w:tcPr>
            <w:tcW w:w="864" w:type="dxa"/>
            <w:tcBorders>
              <w:top w:val="single" w:sz="12" w:space="0" w:color="auto"/>
              <w:bottom w:val="nil"/>
            </w:tcBorders>
            <w:vAlign w:val="center"/>
          </w:tcPr>
          <w:p w14:paraId="522AD13C" w14:textId="77777777" w:rsidR="00EC2B82" w:rsidRPr="0025109A" w:rsidRDefault="00EC2B82" w:rsidP="00E908AF">
            <w:pPr>
              <w:jc w:val="center"/>
              <w:rPr>
                <w:rFonts w:ascii="Verdana" w:hAnsi="Verdana" w:cs="Times New Roman"/>
                <w:sz w:val="20"/>
                <w:szCs w:val="20"/>
              </w:rPr>
            </w:pPr>
          </w:p>
        </w:tc>
        <w:tc>
          <w:tcPr>
            <w:tcW w:w="1296" w:type="dxa"/>
            <w:tcBorders>
              <w:top w:val="single" w:sz="12" w:space="0" w:color="auto"/>
              <w:bottom w:val="nil"/>
            </w:tcBorders>
            <w:vAlign w:val="center"/>
          </w:tcPr>
          <w:p w14:paraId="4FA9CD07" w14:textId="77777777" w:rsidR="00EC2B82" w:rsidRPr="0025109A" w:rsidRDefault="00EC2B82" w:rsidP="00E908AF">
            <w:pPr>
              <w:jc w:val="center"/>
              <w:rPr>
                <w:rFonts w:ascii="Verdana" w:hAnsi="Verdana" w:cs="Times New Roman"/>
                <w:sz w:val="20"/>
                <w:szCs w:val="20"/>
              </w:rPr>
            </w:pPr>
          </w:p>
        </w:tc>
        <w:tc>
          <w:tcPr>
            <w:tcW w:w="3600" w:type="dxa"/>
            <w:tcBorders>
              <w:top w:val="single" w:sz="12" w:space="0" w:color="auto"/>
              <w:bottom w:val="nil"/>
            </w:tcBorders>
            <w:vAlign w:val="center"/>
          </w:tcPr>
          <w:p w14:paraId="2DD9817F" w14:textId="77777777" w:rsidR="00EC2B82" w:rsidRPr="0025109A" w:rsidRDefault="00EC2B82" w:rsidP="00E908AF">
            <w:pPr>
              <w:jc w:val="center"/>
              <w:rPr>
                <w:rFonts w:ascii="Verdana" w:hAnsi="Verdana" w:cs="Times New Roman"/>
                <w:sz w:val="20"/>
                <w:szCs w:val="20"/>
              </w:rPr>
            </w:pPr>
          </w:p>
        </w:tc>
      </w:tr>
      <w:tr w:rsidR="00EC2B82" w14:paraId="34AB3BD2" w14:textId="77777777" w:rsidTr="00FE4EF4">
        <w:tc>
          <w:tcPr>
            <w:tcW w:w="3456" w:type="dxa"/>
            <w:tcBorders>
              <w:top w:val="nil"/>
              <w:bottom w:val="dotted" w:sz="4" w:space="0" w:color="auto"/>
            </w:tcBorders>
          </w:tcPr>
          <w:p w14:paraId="0075F96F" w14:textId="0ECBC478" w:rsidR="00EC2B82" w:rsidRPr="0025109A" w:rsidRDefault="00EC2B82" w:rsidP="00FE4EF4">
            <w:pPr>
              <w:spacing w:after="120" w:line="276" w:lineRule="auto"/>
              <w:rPr>
                <w:rFonts w:ascii="Verdana" w:hAnsi="Verdana" w:cs="Times New Roman"/>
                <w:sz w:val="20"/>
                <w:szCs w:val="20"/>
              </w:rPr>
            </w:pPr>
            <w:r w:rsidRPr="0025109A">
              <w:rPr>
                <w:rFonts w:ascii="Verdana" w:hAnsi="Verdana" w:cs="Times New Roman"/>
                <w:sz w:val="20"/>
                <w:szCs w:val="20"/>
              </w:rPr>
              <w:t xml:space="preserve">Assault </w:t>
            </w:r>
            <w:r>
              <w:rPr>
                <w:rFonts w:ascii="Verdana" w:hAnsi="Verdana" w:cs="Times New Roman"/>
                <w:sz w:val="20"/>
                <w:szCs w:val="20"/>
              </w:rPr>
              <w:t>– II</w:t>
            </w:r>
            <w:r w:rsidRPr="00420166">
              <w:rPr>
                <w:rStyle w:val="EndnoteReference"/>
                <w:rFonts w:cs="Times New Roman"/>
                <w:szCs w:val="16"/>
              </w:rPr>
              <w:endnoteReference w:id="8"/>
            </w:r>
          </w:p>
        </w:tc>
        <w:tc>
          <w:tcPr>
            <w:tcW w:w="1296" w:type="dxa"/>
            <w:tcBorders>
              <w:top w:val="nil"/>
              <w:bottom w:val="dotted" w:sz="4" w:space="0" w:color="auto"/>
            </w:tcBorders>
            <w:vAlign w:val="center"/>
          </w:tcPr>
          <w:p w14:paraId="48EEBD76" w14:textId="3177B2B6"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nil"/>
              <w:bottom w:val="dotted" w:sz="4" w:space="0" w:color="auto"/>
            </w:tcBorders>
            <w:vAlign w:val="center"/>
          </w:tcPr>
          <w:p w14:paraId="09E7432B" w14:textId="48B733EE"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nil"/>
              <w:bottom w:val="dotted" w:sz="4" w:space="0" w:color="auto"/>
            </w:tcBorders>
            <w:vAlign w:val="center"/>
          </w:tcPr>
          <w:p w14:paraId="08088BC3" w14:textId="51573280"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nil"/>
              <w:bottom w:val="dotted" w:sz="4" w:space="0" w:color="auto"/>
            </w:tcBorders>
            <w:vAlign w:val="center"/>
          </w:tcPr>
          <w:p w14:paraId="4AE661B9" w14:textId="16BBD524"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nil"/>
              <w:bottom w:val="dotted" w:sz="4" w:space="0" w:color="auto"/>
            </w:tcBorders>
            <w:vAlign w:val="center"/>
          </w:tcPr>
          <w:p w14:paraId="033FE4A8" w14:textId="1F7D27C4"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nil"/>
              <w:bottom w:val="dotted" w:sz="4" w:space="0" w:color="auto"/>
            </w:tcBorders>
            <w:vAlign w:val="center"/>
          </w:tcPr>
          <w:p w14:paraId="4533AA77" w14:textId="0BC2F50B"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nil"/>
              <w:bottom w:val="dotted" w:sz="4" w:space="0" w:color="auto"/>
            </w:tcBorders>
            <w:vAlign w:val="center"/>
          </w:tcPr>
          <w:p w14:paraId="3DDBCF44" w14:textId="79170F47"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School-based threat assessment referral</w:t>
            </w:r>
          </w:p>
        </w:tc>
      </w:tr>
      <w:tr w:rsidR="00EC2B82" w14:paraId="41B87C6A" w14:textId="77777777" w:rsidTr="00FE4EF4">
        <w:tc>
          <w:tcPr>
            <w:tcW w:w="3456" w:type="dxa"/>
            <w:tcBorders>
              <w:top w:val="dotted" w:sz="4" w:space="0" w:color="auto"/>
              <w:bottom w:val="dotted" w:sz="4" w:space="0" w:color="auto"/>
            </w:tcBorders>
          </w:tcPr>
          <w:p w14:paraId="2822B225" w14:textId="65F7AF59" w:rsidR="00EC2B82" w:rsidRPr="0025109A" w:rsidRDefault="00EC2B82" w:rsidP="00FE4EF4">
            <w:pPr>
              <w:spacing w:after="120" w:line="276" w:lineRule="auto"/>
              <w:rPr>
                <w:rFonts w:ascii="Verdana" w:hAnsi="Verdana" w:cs="Times New Roman"/>
                <w:sz w:val="20"/>
                <w:szCs w:val="20"/>
              </w:rPr>
            </w:pPr>
            <w:r w:rsidRPr="0025109A">
              <w:rPr>
                <w:rFonts w:ascii="Verdana" w:hAnsi="Verdana" w:cs="Times New Roman"/>
                <w:sz w:val="20"/>
                <w:szCs w:val="20"/>
              </w:rPr>
              <w:t>Sexual assault</w:t>
            </w:r>
            <w:r w:rsidRPr="00420166">
              <w:rPr>
                <w:rStyle w:val="EndnoteReference"/>
                <w:rFonts w:cs="Times New Roman"/>
                <w:szCs w:val="16"/>
              </w:rPr>
              <w:endnoteReference w:id="9"/>
            </w:r>
          </w:p>
        </w:tc>
        <w:tc>
          <w:tcPr>
            <w:tcW w:w="1296" w:type="dxa"/>
            <w:tcBorders>
              <w:top w:val="dotted" w:sz="4" w:space="0" w:color="auto"/>
              <w:bottom w:val="dotted" w:sz="4" w:space="0" w:color="auto"/>
            </w:tcBorders>
            <w:vAlign w:val="center"/>
          </w:tcPr>
          <w:p w14:paraId="5618FA86" w14:textId="0D3A30FF"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dotted" w:sz="4" w:space="0" w:color="auto"/>
              <w:bottom w:val="dotted" w:sz="4" w:space="0" w:color="auto"/>
            </w:tcBorders>
            <w:vAlign w:val="center"/>
          </w:tcPr>
          <w:p w14:paraId="174FD2A7" w14:textId="37500994"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dotted" w:sz="4" w:space="0" w:color="auto"/>
              <w:bottom w:val="dotted" w:sz="4" w:space="0" w:color="auto"/>
            </w:tcBorders>
            <w:vAlign w:val="center"/>
          </w:tcPr>
          <w:p w14:paraId="6C5120B0" w14:textId="05884A7B"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7F5FFFD6" w14:textId="36B33B3F"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20E6B758" w14:textId="3F49817A"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dotted" w:sz="4" w:space="0" w:color="auto"/>
              <w:bottom w:val="dotted" w:sz="4" w:space="0" w:color="auto"/>
            </w:tcBorders>
            <w:vAlign w:val="center"/>
          </w:tcPr>
          <w:p w14:paraId="4E147586" w14:textId="4C9869CB"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dotted" w:sz="4" w:space="0" w:color="auto"/>
              <w:bottom w:val="dotted" w:sz="4" w:space="0" w:color="auto"/>
            </w:tcBorders>
            <w:vAlign w:val="center"/>
          </w:tcPr>
          <w:p w14:paraId="6E22A247" w14:textId="6025508E"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 xml:space="preserve">Title IX </w:t>
            </w:r>
            <w:r>
              <w:rPr>
                <w:rFonts w:ascii="Verdana" w:hAnsi="Verdana" w:cs="Times New Roman"/>
                <w:sz w:val="16"/>
                <w:szCs w:val="16"/>
              </w:rPr>
              <w:t>Coordinator</w:t>
            </w:r>
            <w:r w:rsidRPr="0025109A">
              <w:rPr>
                <w:rFonts w:ascii="Verdana" w:hAnsi="Verdana" w:cs="Times New Roman"/>
                <w:sz w:val="16"/>
                <w:szCs w:val="16"/>
              </w:rPr>
              <w:t xml:space="preserve"> referral</w:t>
            </w:r>
            <w:r>
              <w:rPr>
                <w:rStyle w:val="EndnoteReference"/>
                <w:rFonts w:cs="Times New Roman"/>
                <w:szCs w:val="16"/>
              </w:rPr>
              <w:endnoteReference w:id="10"/>
            </w:r>
          </w:p>
        </w:tc>
      </w:tr>
      <w:tr w:rsidR="00EC2B82" w14:paraId="03D7D905" w14:textId="77777777" w:rsidTr="00FE4EF4">
        <w:tc>
          <w:tcPr>
            <w:tcW w:w="3456" w:type="dxa"/>
            <w:tcBorders>
              <w:top w:val="dotted" w:sz="4" w:space="0" w:color="auto"/>
              <w:bottom w:val="dotted" w:sz="4" w:space="0" w:color="auto"/>
            </w:tcBorders>
          </w:tcPr>
          <w:p w14:paraId="5D89B829" w14:textId="103BB9E3" w:rsidR="00EC2B82" w:rsidRPr="0025109A" w:rsidRDefault="00EC2B82" w:rsidP="00FE4EF4">
            <w:pPr>
              <w:spacing w:after="120" w:line="276" w:lineRule="auto"/>
              <w:rPr>
                <w:rFonts w:ascii="Verdana" w:hAnsi="Verdana" w:cs="Times New Roman"/>
                <w:sz w:val="20"/>
                <w:szCs w:val="20"/>
              </w:rPr>
            </w:pPr>
            <w:r w:rsidRPr="0025109A">
              <w:rPr>
                <w:rFonts w:ascii="Verdana" w:hAnsi="Verdana" w:cs="Times New Roman"/>
                <w:sz w:val="20"/>
                <w:szCs w:val="20"/>
              </w:rPr>
              <w:t>Illicit drug distribution</w:t>
            </w:r>
            <w:r w:rsidRPr="00420166">
              <w:rPr>
                <w:rStyle w:val="EndnoteReference"/>
                <w:rFonts w:cs="Times New Roman"/>
                <w:szCs w:val="16"/>
              </w:rPr>
              <w:endnoteReference w:id="11"/>
            </w:r>
          </w:p>
        </w:tc>
        <w:tc>
          <w:tcPr>
            <w:tcW w:w="1296" w:type="dxa"/>
            <w:tcBorders>
              <w:top w:val="dotted" w:sz="4" w:space="0" w:color="auto"/>
              <w:bottom w:val="dotted" w:sz="4" w:space="0" w:color="auto"/>
            </w:tcBorders>
            <w:vAlign w:val="center"/>
          </w:tcPr>
          <w:p w14:paraId="076AEBF1" w14:textId="0FFEBA68"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dotted" w:sz="4" w:space="0" w:color="auto"/>
              <w:bottom w:val="dotted" w:sz="4" w:space="0" w:color="auto"/>
            </w:tcBorders>
            <w:vAlign w:val="center"/>
          </w:tcPr>
          <w:p w14:paraId="2BEA375F" w14:textId="2CE62A13"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dotted" w:sz="4" w:space="0" w:color="auto"/>
              <w:bottom w:val="dotted" w:sz="4" w:space="0" w:color="auto"/>
            </w:tcBorders>
            <w:vAlign w:val="center"/>
          </w:tcPr>
          <w:p w14:paraId="535B018A" w14:textId="7E1EA3FA"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6556F6A7" w14:textId="09E7F8DE"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5441579B" w14:textId="3982B531"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dotted" w:sz="4" w:space="0" w:color="auto"/>
              <w:bottom w:val="dotted" w:sz="4" w:space="0" w:color="auto"/>
            </w:tcBorders>
            <w:vAlign w:val="center"/>
          </w:tcPr>
          <w:p w14:paraId="69CAC792" w14:textId="0628FD76"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dotted" w:sz="4" w:space="0" w:color="auto"/>
              <w:bottom w:val="dotted" w:sz="4" w:space="0" w:color="auto"/>
            </w:tcBorders>
            <w:vAlign w:val="center"/>
          </w:tcPr>
          <w:p w14:paraId="17787972" w14:textId="40FE2E9B"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Prevention/intervention referral</w:t>
            </w:r>
            <w:r>
              <w:rPr>
                <w:rStyle w:val="EndnoteReference"/>
                <w:rFonts w:cs="Times New Roman"/>
                <w:szCs w:val="16"/>
              </w:rPr>
              <w:endnoteReference w:id="12"/>
            </w:r>
          </w:p>
        </w:tc>
      </w:tr>
      <w:tr w:rsidR="00EC2B82" w14:paraId="46BA6E28" w14:textId="77777777" w:rsidTr="00FE4EF4">
        <w:tc>
          <w:tcPr>
            <w:tcW w:w="3456" w:type="dxa"/>
            <w:tcBorders>
              <w:top w:val="dotted" w:sz="4" w:space="0" w:color="auto"/>
              <w:bottom w:val="dotted" w:sz="4" w:space="0" w:color="auto"/>
            </w:tcBorders>
          </w:tcPr>
          <w:p w14:paraId="0AAD36B0" w14:textId="3A6D40AD" w:rsidR="00EC2B82" w:rsidRPr="0025109A" w:rsidRDefault="00EC2B82" w:rsidP="00FE4EF4">
            <w:pPr>
              <w:spacing w:after="120" w:line="276" w:lineRule="auto"/>
              <w:rPr>
                <w:rFonts w:ascii="Verdana" w:hAnsi="Verdana" w:cs="Times New Roman"/>
                <w:sz w:val="20"/>
                <w:szCs w:val="20"/>
              </w:rPr>
            </w:pPr>
            <w:r w:rsidRPr="0025109A">
              <w:rPr>
                <w:rFonts w:ascii="Verdana" w:hAnsi="Verdana" w:cs="Times New Roman"/>
                <w:sz w:val="20"/>
                <w:szCs w:val="20"/>
              </w:rPr>
              <w:t>Possession of a weapon</w:t>
            </w:r>
            <w:r w:rsidRPr="00420166">
              <w:rPr>
                <w:rStyle w:val="EndnoteReference"/>
                <w:rFonts w:cs="Times New Roman"/>
                <w:szCs w:val="16"/>
              </w:rPr>
              <w:endnoteReference w:id="13"/>
            </w:r>
          </w:p>
        </w:tc>
        <w:tc>
          <w:tcPr>
            <w:tcW w:w="1296" w:type="dxa"/>
            <w:tcBorders>
              <w:top w:val="dotted" w:sz="4" w:space="0" w:color="auto"/>
              <w:bottom w:val="dotted" w:sz="4" w:space="0" w:color="auto"/>
            </w:tcBorders>
            <w:vAlign w:val="center"/>
          </w:tcPr>
          <w:p w14:paraId="3217B550" w14:textId="179D1024"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dotted" w:sz="4" w:space="0" w:color="auto"/>
              <w:bottom w:val="dotted" w:sz="4" w:space="0" w:color="auto"/>
            </w:tcBorders>
            <w:vAlign w:val="center"/>
          </w:tcPr>
          <w:p w14:paraId="52937A74" w14:textId="300A4C50"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dotted" w:sz="4" w:space="0" w:color="auto"/>
              <w:bottom w:val="dotted" w:sz="4" w:space="0" w:color="auto"/>
            </w:tcBorders>
            <w:vAlign w:val="center"/>
          </w:tcPr>
          <w:p w14:paraId="7ECD9D69" w14:textId="504875E1"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311CCD37" w14:textId="7CA0A069"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38F98B6D" w14:textId="391286AE"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dotted" w:sz="4" w:space="0" w:color="auto"/>
              <w:bottom w:val="dotted" w:sz="4" w:space="0" w:color="auto"/>
            </w:tcBorders>
            <w:vAlign w:val="center"/>
          </w:tcPr>
          <w:p w14:paraId="5866A345" w14:textId="26E3651F"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dotted" w:sz="4" w:space="0" w:color="auto"/>
              <w:bottom w:val="dotted" w:sz="4" w:space="0" w:color="auto"/>
            </w:tcBorders>
            <w:vAlign w:val="center"/>
          </w:tcPr>
          <w:p w14:paraId="635B7593" w14:textId="18FAE301"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School-based threat assessment referral</w:t>
            </w:r>
          </w:p>
        </w:tc>
      </w:tr>
      <w:tr w:rsidR="00EC2B82" w14:paraId="6B4FF236" w14:textId="77777777" w:rsidTr="00FE4EF4">
        <w:tc>
          <w:tcPr>
            <w:tcW w:w="3456" w:type="dxa"/>
            <w:tcBorders>
              <w:top w:val="dotted" w:sz="4" w:space="0" w:color="auto"/>
              <w:bottom w:val="dotted" w:sz="4" w:space="0" w:color="auto"/>
            </w:tcBorders>
          </w:tcPr>
          <w:p w14:paraId="5B64006D" w14:textId="183A2811" w:rsidR="00EC2B82" w:rsidRPr="0025109A" w:rsidRDefault="00EC2B82" w:rsidP="00FE4EF4">
            <w:pPr>
              <w:spacing w:after="120" w:line="276" w:lineRule="auto"/>
              <w:rPr>
                <w:rFonts w:ascii="Verdana" w:hAnsi="Verdana" w:cs="Times New Roman"/>
                <w:sz w:val="20"/>
                <w:szCs w:val="20"/>
              </w:rPr>
            </w:pPr>
            <w:r w:rsidRPr="0025109A">
              <w:rPr>
                <w:rFonts w:ascii="Verdana" w:hAnsi="Verdana" w:cs="Times New Roman"/>
                <w:sz w:val="20"/>
                <w:szCs w:val="20"/>
              </w:rPr>
              <w:t>Robbery</w:t>
            </w:r>
            <w:r w:rsidRPr="00420166">
              <w:rPr>
                <w:rStyle w:val="EndnoteReference"/>
                <w:rFonts w:cs="Times New Roman"/>
                <w:szCs w:val="16"/>
              </w:rPr>
              <w:endnoteReference w:id="14"/>
            </w:r>
          </w:p>
        </w:tc>
        <w:tc>
          <w:tcPr>
            <w:tcW w:w="1296" w:type="dxa"/>
            <w:tcBorders>
              <w:top w:val="dotted" w:sz="4" w:space="0" w:color="auto"/>
              <w:bottom w:val="dotted" w:sz="4" w:space="0" w:color="auto"/>
            </w:tcBorders>
            <w:vAlign w:val="center"/>
          </w:tcPr>
          <w:p w14:paraId="26713D73" w14:textId="2B78BEBC"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dotted" w:sz="4" w:space="0" w:color="auto"/>
              <w:bottom w:val="dotted" w:sz="4" w:space="0" w:color="auto"/>
            </w:tcBorders>
            <w:vAlign w:val="center"/>
          </w:tcPr>
          <w:p w14:paraId="614F352C" w14:textId="1AECBA50"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dotted" w:sz="4" w:space="0" w:color="auto"/>
              <w:bottom w:val="dotted" w:sz="4" w:space="0" w:color="auto"/>
            </w:tcBorders>
            <w:vAlign w:val="center"/>
          </w:tcPr>
          <w:p w14:paraId="36B7D55E" w14:textId="27D2288A"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45813EB4" w14:textId="2E6A8BE4"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0A4F6B24" w14:textId="598BF5FF"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dotted" w:sz="4" w:space="0" w:color="auto"/>
              <w:bottom w:val="dotted" w:sz="4" w:space="0" w:color="auto"/>
            </w:tcBorders>
            <w:vAlign w:val="center"/>
          </w:tcPr>
          <w:p w14:paraId="23CDFF33" w14:textId="454FF5C5"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dotted" w:sz="4" w:space="0" w:color="auto"/>
              <w:bottom w:val="dotted" w:sz="4" w:space="0" w:color="auto"/>
            </w:tcBorders>
            <w:vAlign w:val="center"/>
          </w:tcPr>
          <w:p w14:paraId="30C40711" w14:textId="268A0AC7"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School-based threat assessment referral</w:t>
            </w:r>
          </w:p>
        </w:tc>
      </w:tr>
      <w:tr w:rsidR="00EC2B82" w14:paraId="647AA6FA" w14:textId="77777777" w:rsidTr="00E666E4">
        <w:tc>
          <w:tcPr>
            <w:tcW w:w="3456" w:type="dxa"/>
            <w:tcBorders>
              <w:top w:val="dotted" w:sz="4" w:space="0" w:color="auto"/>
              <w:bottom w:val="dotted" w:sz="4" w:space="0" w:color="auto"/>
            </w:tcBorders>
          </w:tcPr>
          <w:p w14:paraId="6A2ABBC2" w14:textId="0AFA6004" w:rsidR="00EC2B82" w:rsidRPr="0025109A" w:rsidRDefault="00EC2B82" w:rsidP="00E666E4">
            <w:pPr>
              <w:spacing w:after="120" w:line="276" w:lineRule="auto"/>
              <w:rPr>
                <w:rFonts w:ascii="Verdana" w:hAnsi="Verdana" w:cs="Times New Roman"/>
                <w:sz w:val="20"/>
                <w:szCs w:val="20"/>
              </w:rPr>
            </w:pPr>
            <w:r w:rsidRPr="0025109A">
              <w:rPr>
                <w:rFonts w:ascii="Verdana" w:hAnsi="Verdana" w:cs="Times New Roman"/>
                <w:sz w:val="20"/>
                <w:szCs w:val="20"/>
              </w:rPr>
              <w:t>Assault of teacher</w:t>
            </w:r>
            <w:r w:rsidRPr="00420166">
              <w:rPr>
                <w:rFonts w:ascii="Verdana" w:hAnsi="Verdana" w:cs="Times New Roman"/>
                <w:sz w:val="16"/>
                <w:szCs w:val="16"/>
                <w:vertAlign w:val="superscript"/>
              </w:rPr>
              <w:endnoteReference w:id="15"/>
            </w:r>
          </w:p>
        </w:tc>
        <w:tc>
          <w:tcPr>
            <w:tcW w:w="1296" w:type="dxa"/>
            <w:tcBorders>
              <w:top w:val="dotted" w:sz="4" w:space="0" w:color="auto"/>
              <w:bottom w:val="dotted" w:sz="4" w:space="0" w:color="auto"/>
            </w:tcBorders>
            <w:vAlign w:val="center"/>
          </w:tcPr>
          <w:p w14:paraId="0471E523" w14:textId="6DEA012D"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dotted" w:sz="4" w:space="0" w:color="auto"/>
              <w:bottom w:val="dotted" w:sz="4" w:space="0" w:color="auto"/>
            </w:tcBorders>
            <w:vAlign w:val="center"/>
          </w:tcPr>
          <w:p w14:paraId="20701328" w14:textId="2EB55427"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dotted" w:sz="4" w:space="0" w:color="auto"/>
              <w:bottom w:val="dotted" w:sz="4" w:space="0" w:color="auto"/>
            </w:tcBorders>
            <w:vAlign w:val="center"/>
          </w:tcPr>
          <w:p w14:paraId="069BBC27" w14:textId="6AEF4734"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1F8DD6BF" w14:textId="02600E81"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dotted" w:sz="4" w:space="0" w:color="auto"/>
            </w:tcBorders>
            <w:vAlign w:val="center"/>
          </w:tcPr>
          <w:p w14:paraId="1F74282B" w14:textId="106A06F2"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dotted" w:sz="4" w:space="0" w:color="auto"/>
              <w:bottom w:val="dotted" w:sz="4" w:space="0" w:color="auto"/>
            </w:tcBorders>
            <w:vAlign w:val="center"/>
          </w:tcPr>
          <w:p w14:paraId="4635B7BD" w14:textId="301A9B1E"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dotted" w:sz="4" w:space="0" w:color="auto"/>
              <w:bottom w:val="dotted" w:sz="4" w:space="0" w:color="auto"/>
            </w:tcBorders>
            <w:vAlign w:val="center"/>
          </w:tcPr>
          <w:p w14:paraId="566EA46F" w14:textId="0050890A" w:rsidR="00EC2B82"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Classroom reassignment</w:t>
            </w:r>
            <w:r>
              <w:rPr>
                <w:rStyle w:val="EndnoteReference"/>
                <w:rFonts w:cs="Times New Roman"/>
                <w:szCs w:val="16"/>
              </w:rPr>
              <w:endnoteReference w:id="16"/>
            </w:r>
          </w:p>
          <w:p w14:paraId="15D69764" w14:textId="09CB46FA" w:rsidR="00EC2B82" w:rsidRPr="0025109A" w:rsidRDefault="00EC2B82" w:rsidP="00E666E4">
            <w:pPr>
              <w:spacing w:after="120" w:line="276" w:lineRule="auto"/>
              <w:jc w:val="center"/>
              <w:rPr>
                <w:rFonts w:ascii="Verdana" w:hAnsi="Verdana" w:cs="Times New Roman"/>
                <w:sz w:val="16"/>
                <w:szCs w:val="16"/>
              </w:rPr>
            </w:pPr>
            <w:r>
              <w:rPr>
                <w:rFonts w:ascii="Verdana" w:hAnsi="Verdana" w:cs="Times New Roman"/>
                <w:sz w:val="16"/>
                <w:szCs w:val="16"/>
              </w:rPr>
              <w:t>School-based threat assessment referral</w:t>
            </w:r>
          </w:p>
        </w:tc>
      </w:tr>
      <w:tr w:rsidR="00EC2B82" w14:paraId="3092DEC5" w14:textId="77777777" w:rsidTr="00E666E4">
        <w:tc>
          <w:tcPr>
            <w:tcW w:w="3456" w:type="dxa"/>
            <w:tcBorders>
              <w:top w:val="dotted" w:sz="4" w:space="0" w:color="auto"/>
              <w:bottom w:val="single" w:sz="12" w:space="0" w:color="auto"/>
            </w:tcBorders>
          </w:tcPr>
          <w:p w14:paraId="0578FDBB" w14:textId="02439561" w:rsidR="00EC2B82" w:rsidRPr="0025109A" w:rsidRDefault="00EC2B82" w:rsidP="00E666E4">
            <w:pPr>
              <w:spacing w:after="120" w:line="276" w:lineRule="auto"/>
              <w:rPr>
                <w:rFonts w:ascii="Verdana" w:hAnsi="Verdana" w:cs="Times New Roman"/>
                <w:sz w:val="20"/>
                <w:szCs w:val="20"/>
              </w:rPr>
            </w:pPr>
            <w:r>
              <w:rPr>
                <w:rFonts w:ascii="Verdana" w:hAnsi="Verdana" w:cs="Times New Roman"/>
                <w:sz w:val="20"/>
                <w:szCs w:val="20"/>
              </w:rPr>
              <w:t>S</w:t>
            </w:r>
            <w:r w:rsidRPr="0025109A">
              <w:rPr>
                <w:rFonts w:ascii="Verdana" w:hAnsi="Verdana" w:cs="Times New Roman"/>
                <w:sz w:val="20"/>
                <w:szCs w:val="20"/>
              </w:rPr>
              <w:t>afety – II</w:t>
            </w:r>
            <w:r w:rsidRPr="00420166">
              <w:rPr>
                <w:rStyle w:val="EndnoteReference"/>
                <w:rFonts w:cs="Times New Roman"/>
                <w:szCs w:val="16"/>
              </w:rPr>
              <w:endnoteReference w:id="17"/>
            </w:r>
          </w:p>
        </w:tc>
        <w:tc>
          <w:tcPr>
            <w:tcW w:w="1296" w:type="dxa"/>
            <w:tcBorders>
              <w:top w:val="dotted" w:sz="4" w:space="0" w:color="auto"/>
              <w:bottom w:val="single" w:sz="12" w:space="0" w:color="auto"/>
            </w:tcBorders>
            <w:vAlign w:val="center"/>
          </w:tcPr>
          <w:p w14:paraId="0DAA8FE8" w14:textId="308FB4A2" w:rsidR="00EC2B82" w:rsidRPr="000D20FA" w:rsidRDefault="00EC2B82" w:rsidP="00E666E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G</w:t>
            </w:r>
          </w:p>
        </w:tc>
        <w:tc>
          <w:tcPr>
            <w:tcW w:w="1296" w:type="dxa"/>
            <w:tcBorders>
              <w:top w:val="dotted" w:sz="4" w:space="0" w:color="auto"/>
              <w:bottom w:val="single" w:sz="12" w:space="0" w:color="auto"/>
            </w:tcBorders>
            <w:vAlign w:val="center"/>
          </w:tcPr>
          <w:p w14:paraId="635F67C2" w14:textId="28131992"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dotted" w:sz="4" w:space="0" w:color="auto"/>
              <w:bottom w:val="single" w:sz="12" w:space="0" w:color="auto"/>
            </w:tcBorders>
            <w:vAlign w:val="center"/>
          </w:tcPr>
          <w:p w14:paraId="5E1C6B52" w14:textId="5A4369C7"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single" w:sz="12" w:space="0" w:color="auto"/>
            </w:tcBorders>
            <w:vAlign w:val="center"/>
          </w:tcPr>
          <w:p w14:paraId="034E0D92" w14:textId="033AD241" w:rsidR="00EC2B82" w:rsidRPr="0025109A" w:rsidRDefault="00EC2B82" w:rsidP="00E666E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dotted" w:sz="4" w:space="0" w:color="auto"/>
              <w:bottom w:val="single" w:sz="12" w:space="0" w:color="auto"/>
            </w:tcBorders>
            <w:vAlign w:val="center"/>
          </w:tcPr>
          <w:p w14:paraId="646B5947" w14:textId="7AC55B67"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1296" w:type="dxa"/>
            <w:tcBorders>
              <w:top w:val="dotted" w:sz="4" w:space="0" w:color="auto"/>
              <w:bottom w:val="single" w:sz="12" w:space="0" w:color="auto"/>
            </w:tcBorders>
            <w:vAlign w:val="center"/>
          </w:tcPr>
          <w:p w14:paraId="054CDE54" w14:textId="1A48E3BB"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No K–4</w:t>
            </w:r>
          </w:p>
        </w:tc>
        <w:tc>
          <w:tcPr>
            <w:tcW w:w="3600" w:type="dxa"/>
            <w:tcBorders>
              <w:top w:val="dotted" w:sz="4" w:space="0" w:color="auto"/>
              <w:bottom w:val="single" w:sz="12" w:space="0" w:color="auto"/>
            </w:tcBorders>
            <w:vAlign w:val="center"/>
          </w:tcPr>
          <w:p w14:paraId="69B3C4D4" w14:textId="7D60098E" w:rsidR="00EC2B82" w:rsidRPr="0025109A" w:rsidRDefault="00EC2B82" w:rsidP="00E666E4">
            <w:pPr>
              <w:spacing w:after="120" w:line="276" w:lineRule="auto"/>
              <w:jc w:val="center"/>
              <w:rPr>
                <w:rFonts w:ascii="Verdana" w:hAnsi="Verdana" w:cs="Times New Roman"/>
                <w:sz w:val="16"/>
                <w:szCs w:val="16"/>
              </w:rPr>
            </w:pPr>
            <w:r w:rsidRPr="0025109A">
              <w:rPr>
                <w:rFonts w:ascii="Verdana" w:hAnsi="Verdana" w:cs="Times New Roman"/>
                <w:sz w:val="16"/>
                <w:szCs w:val="16"/>
              </w:rPr>
              <w:t>School-based threat assessment referral</w:t>
            </w:r>
          </w:p>
        </w:tc>
      </w:tr>
      <w:tr w:rsidR="00EC2B82" w:rsidRPr="0025109A" w14:paraId="74A6EA13" w14:textId="77777777" w:rsidTr="00BF163C">
        <w:tc>
          <w:tcPr>
            <w:tcW w:w="3456" w:type="dxa"/>
            <w:tcBorders>
              <w:top w:val="single" w:sz="12" w:space="0" w:color="auto"/>
              <w:bottom w:val="nil"/>
            </w:tcBorders>
          </w:tcPr>
          <w:p w14:paraId="0652AC4D" w14:textId="69CCF90F" w:rsidR="00EC2B82" w:rsidRPr="0025109A" w:rsidRDefault="00EC2B82">
            <w:pPr>
              <w:rPr>
                <w:rFonts w:ascii="Verdana" w:hAnsi="Verdana" w:cs="Times New Roman"/>
                <w:b/>
                <w:bCs/>
                <w:i/>
                <w:iCs/>
                <w:sz w:val="24"/>
                <w:szCs w:val="24"/>
              </w:rPr>
            </w:pPr>
            <w:r w:rsidRPr="0025109A">
              <w:rPr>
                <w:rFonts w:ascii="Verdana" w:hAnsi="Verdana" w:cs="Times New Roman"/>
                <w:b/>
                <w:bCs/>
                <w:i/>
                <w:iCs/>
                <w:sz w:val="24"/>
                <w:szCs w:val="24"/>
              </w:rPr>
              <w:t>Type Four</w:t>
            </w:r>
          </w:p>
        </w:tc>
        <w:tc>
          <w:tcPr>
            <w:tcW w:w="1296" w:type="dxa"/>
            <w:tcBorders>
              <w:top w:val="single" w:sz="12" w:space="0" w:color="auto"/>
              <w:bottom w:val="nil"/>
            </w:tcBorders>
            <w:vAlign w:val="center"/>
          </w:tcPr>
          <w:p w14:paraId="2CA8CAC2" w14:textId="77777777" w:rsidR="00EC2B82" w:rsidRPr="000D20FA" w:rsidRDefault="00EC2B82" w:rsidP="00B353A2">
            <w:pPr>
              <w:jc w:val="center"/>
              <w:rPr>
                <w:rFonts w:ascii="Verdana" w:hAnsi="Verdana" w:cs="Times New Roman"/>
                <w:sz w:val="16"/>
                <w:szCs w:val="16"/>
              </w:rPr>
            </w:pPr>
          </w:p>
        </w:tc>
        <w:tc>
          <w:tcPr>
            <w:tcW w:w="1296" w:type="dxa"/>
            <w:tcBorders>
              <w:top w:val="single" w:sz="12" w:space="0" w:color="auto"/>
              <w:bottom w:val="nil"/>
            </w:tcBorders>
            <w:vAlign w:val="center"/>
          </w:tcPr>
          <w:p w14:paraId="62774493" w14:textId="77777777" w:rsidR="00EC2B82" w:rsidRPr="0025109A" w:rsidRDefault="00EC2B82" w:rsidP="00E908AF">
            <w:pPr>
              <w:jc w:val="center"/>
              <w:rPr>
                <w:rFonts w:ascii="Verdana" w:hAnsi="Verdana" w:cs="Times New Roman"/>
                <w:sz w:val="20"/>
                <w:szCs w:val="20"/>
              </w:rPr>
            </w:pPr>
          </w:p>
        </w:tc>
        <w:tc>
          <w:tcPr>
            <w:tcW w:w="720" w:type="dxa"/>
            <w:tcBorders>
              <w:top w:val="single" w:sz="12" w:space="0" w:color="auto"/>
              <w:bottom w:val="nil"/>
            </w:tcBorders>
            <w:vAlign w:val="center"/>
          </w:tcPr>
          <w:p w14:paraId="148E9BEA" w14:textId="77777777" w:rsidR="00EC2B82" w:rsidRPr="0025109A" w:rsidRDefault="00EC2B82" w:rsidP="00E908AF">
            <w:pPr>
              <w:jc w:val="center"/>
              <w:rPr>
                <w:rFonts w:ascii="Verdana" w:hAnsi="Verdana" w:cs="Times New Roman"/>
                <w:sz w:val="20"/>
                <w:szCs w:val="20"/>
              </w:rPr>
            </w:pPr>
          </w:p>
        </w:tc>
        <w:tc>
          <w:tcPr>
            <w:tcW w:w="864" w:type="dxa"/>
            <w:tcBorders>
              <w:top w:val="single" w:sz="12" w:space="0" w:color="auto"/>
              <w:bottom w:val="nil"/>
            </w:tcBorders>
            <w:vAlign w:val="center"/>
          </w:tcPr>
          <w:p w14:paraId="3E0011B0" w14:textId="77777777" w:rsidR="00EC2B82" w:rsidRPr="0025109A" w:rsidRDefault="00EC2B82" w:rsidP="001F5FEF">
            <w:pPr>
              <w:jc w:val="center"/>
              <w:rPr>
                <w:rFonts w:ascii="Verdana" w:hAnsi="Verdana" w:cs="Times New Roman"/>
                <w:sz w:val="20"/>
                <w:szCs w:val="20"/>
              </w:rPr>
            </w:pPr>
          </w:p>
        </w:tc>
        <w:tc>
          <w:tcPr>
            <w:tcW w:w="864" w:type="dxa"/>
            <w:tcBorders>
              <w:top w:val="single" w:sz="12" w:space="0" w:color="auto"/>
              <w:bottom w:val="nil"/>
            </w:tcBorders>
            <w:vAlign w:val="center"/>
          </w:tcPr>
          <w:p w14:paraId="23B350D3" w14:textId="77777777" w:rsidR="00EC2B82" w:rsidRPr="0025109A" w:rsidRDefault="00EC2B82" w:rsidP="001F5FEF">
            <w:pPr>
              <w:jc w:val="center"/>
              <w:rPr>
                <w:rFonts w:ascii="Verdana" w:hAnsi="Verdana" w:cs="Times New Roman"/>
                <w:sz w:val="20"/>
                <w:szCs w:val="20"/>
              </w:rPr>
            </w:pPr>
          </w:p>
        </w:tc>
        <w:tc>
          <w:tcPr>
            <w:tcW w:w="1296" w:type="dxa"/>
            <w:tcBorders>
              <w:top w:val="single" w:sz="12" w:space="0" w:color="auto"/>
              <w:bottom w:val="nil"/>
            </w:tcBorders>
            <w:vAlign w:val="center"/>
          </w:tcPr>
          <w:p w14:paraId="313077DC" w14:textId="77777777" w:rsidR="00EC2B82" w:rsidRPr="0025109A" w:rsidRDefault="00EC2B82" w:rsidP="00E908AF">
            <w:pPr>
              <w:jc w:val="center"/>
              <w:rPr>
                <w:rFonts w:ascii="Verdana" w:hAnsi="Verdana" w:cs="Times New Roman"/>
                <w:sz w:val="20"/>
                <w:szCs w:val="20"/>
              </w:rPr>
            </w:pPr>
          </w:p>
        </w:tc>
        <w:tc>
          <w:tcPr>
            <w:tcW w:w="3600" w:type="dxa"/>
            <w:tcBorders>
              <w:top w:val="single" w:sz="12" w:space="0" w:color="auto"/>
              <w:bottom w:val="nil"/>
            </w:tcBorders>
            <w:vAlign w:val="center"/>
          </w:tcPr>
          <w:p w14:paraId="2B72F828" w14:textId="77777777" w:rsidR="00EC2B82" w:rsidRPr="0025109A" w:rsidRDefault="00EC2B82" w:rsidP="00E908AF">
            <w:pPr>
              <w:jc w:val="center"/>
              <w:rPr>
                <w:rFonts w:ascii="Verdana" w:hAnsi="Verdana" w:cs="Times New Roman"/>
                <w:sz w:val="20"/>
                <w:szCs w:val="20"/>
              </w:rPr>
            </w:pPr>
          </w:p>
        </w:tc>
      </w:tr>
      <w:tr w:rsidR="00EC2B82" w:rsidRPr="0025109A" w14:paraId="776FC364" w14:textId="77777777" w:rsidTr="00BF163C">
        <w:tc>
          <w:tcPr>
            <w:tcW w:w="3456" w:type="dxa"/>
            <w:tcBorders>
              <w:top w:val="nil"/>
              <w:bottom w:val="dotted" w:sz="4" w:space="0" w:color="auto"/>
            </w:tcBorders>
          </w:tcPr>
          <w:p w14:paraId="4F961660" w14:textId="3DCD0028" w:rsidR="00EC2B82" w:rsidRPr="0025109A" w:rsidRDefault="00EC2B82" w:rsidP="008349F4">
            <w:pPr>
              <w:spacing w:after="120" w:line="276" w:lineRule="auto"/>
              <w:rPr>
                <w:rFonts w:ascii="Verdana" w:hAnsi="Verdana" w:cs="Times New Roman"/>
                <w:sz w:val="20"/>
                <w:szCs w:val="20"/>
              </w:rPr>
            </w:pPr>
            <w:r w:rsidRPr="0025109A">
              <w:rPr>
                <w:rFonts w:ascii="Verdana" w:hAnsi="Verdana" w:cs="Times New Roman"/>
                <w:sz w:val="20"/>
                <w:szCs w:val="20"/>
              </w:rPr>
              <w:t xml:space="preserve">Assault </w:t>
            </w:r>
            <w:r>
              <w:rPr>
                <w:rFonts w:ascii="Verdana" w:hAnsi="Verdana" w:cs="Times New Roman"/>
                <w:sz w:val="20"/>
                <w:szCs w:val="20"/>
              </w:rPr>
              <w:softHyphen/>
              <w:t>– I</w:t>
            </w:r>
            <w:r w:rsidRPr="00420166">
              <w:rPr>
                <w:rStyle w:val="EndnoteReference"/>
                <w:rFonts w:cs="Times New Roman"/>
                <w:szCs w:val="16"/>
              </w:rPr>
              <w:endnoteReference w:id="18"/>
            </w:r>
          </w:p>
        </w:tc>
        <w:tc>
          <w:tcPr>
            <w:tcW w:w="1296" w:type="dxa"/>
            <w:tcBorders>
              <w:top w:val="nil"/>
              <w:bottom w:val="dotted" w:sz="4" w:space="0" w:color="auto"/>
            </w:tcBorders>
            <w:vAlign w:val="center"/>
          </w:tcPr>
          <w:p w14:paraId="4BE54B93" w14:textId="55508E2A" w:rsidR="00EC2B82" w:rsidRPr="000D20FA" w:rsidRDefault="00EC2B82" w:rsidP="008349F4">
            <w:pPr>
              <w:spacing w:after="120" w:line="276" w:lineRule="auto"/>
              <w:jc w:val="center"/>
              <w:rPr>
                <w:rFonts w:ascii="Verdana" w:hAnsi="Verdana" w:cs="Times New Roman"/>
                <w:sz w:val="16"/>
                <w:szCs w:val="16"/>
              </w:rPr>
            </w:pPr>
            <w:r w:rsidRPr="000D20FA">
              <w:rPr>
                <w:rFonts w:ascii="Verdana" w:hAnsi="Verdana" w:cs="Times New Roman"/>
                <w:sz w:val="16"/>
                <w:szCs w:val="16"/>
              </w:rPr>
              <w:t xml:space="preserve">Level </w:t>
            </w:r>
            <w:r>
              <w:rPr>
                <w:rFonts w:ascii="Verdana" w:hAnsi="Verdana" w:cs="Times New Roman"/>
                <w:sz w:val="16"/>
                <w:szCs w:val="16"/>
              </w:rPr>
              <w:t>F</w:t>
            </w:r>
          </w:p>
        </w:tc>
        <w:tc>
          <w:tcPr>
            <w:tcW w:w="1296" w:type="dxa"/>
            <w:tcBorders>
              <w:top w:val="nil"/>
              <w:bottom w:val="dotted" w:sz="4" w:space="0" w:color="auto"/>
            </w:tcBorders>
            <w:vAlign w:val="center"/>
          </w:tcPr>
          <w:p w14:paraId="3691130E" w14:textId="09B54C36" w:rsidR="00EC2B82" w:rsidRPr="0025109A" w:rsidRDefault="00EC2B82" w:rsidP="008349F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720" w:type="dxa"/>
            <w:tcBorders>
              <w:top w:val="nil"/>
              <w:bottom w:val="dotted" w:sz="4" w:space="0" w:color="auto"/>
            </w:tcBorders>
            <w:vAlign w:val="center"/>
          </w:tcPr>
          <w:p w14:paraId="7694D2F4" w14:textId="33ECF8A0" w:rsidR="00EC2B82" w:rsidRPr="0025109A" w:rsidRDefault="00EC2B82" w:rsidP="008349F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nil"/>
              <w:bottom w:val="dotted" w:sz="4" w:space="0" w:color="auto"/>
            </w:tcBorders>
            <w:vAlign w:val="center"/>
          </w:tcPr>
          <w:p w14:paraId="466DD6CC" w14:textId="6BF71910" w:rsidR="00EC2B82" w:rsidRPr="0025109A" w:rsidRDefault="00EC2B82" w:rsidP="008349F4">
            <w:pPr>
              <w:spacing w:after="120" w:line="276" w:lineRule="auto"/>
              <w:jc w:val="center"/>
              <w:rPr>
                <w:rFonts w:ascii="Verdana" w:hAnsi="Verdana" w:cs="Times New Roman"/>
                <w:sz w:val="20"/>
                <w:szCs w:val="20"/>
              </w:rPr>
            </w:pPr>
            <w:r w:rsidRPr="0025109A">
              <w:rPr>
                <w:rFonts w:ascii="Verdana" w:hAnsi="Verdana" w:cs="Times New Roman"/>
                <w:sz w:val="20"/>
                <w:szCs w:val="20"/>
              </w:rPr>
              <w:sym w:font="Wingdings" w:char="F0FC"/>
            </w:r>
          </w:p>
        </w:tc>
        <w:tc>
          <w:tcPr>
            <w:tcW w:w="864" w:type="dxa"/>
            <w:tcBorders>
              <w:top w:val="nil"/>
              <w:bottom w:val="dotted" w:sz="4" w:space="0" w:color="auto"/>
            </w:tcBorders>
            <w:vAlign w:val="center"/>
          </w:tcPr>
          <w:p w14:paraId="7ED62932" w14:textId="1A258255" w:rsidR="00EC2B82" w:rsidRPr="0025109A" w:rsidRDefault="00EC2B82" w:rsidP="008349F4">
            <w:pPr>
              <w:spacing w:after="120" w:line="276" w:lineRule="auto"/>
              <w:jc w:val="center"/>
              <w:rPr>
                <w:rFonts w:ascii="Verdana" w:hAnsi="Verdana" w:cs="Times New Roman"/>
                <w:sz w:val="16"/>
                <w:szCs w:val="16"/>
              </w:rPr>
            </w:pPr>
            <w:r>
              <w:rPr>
                <w:rFonts w:ascii="Verdana" w:hAnsi="Verdana" w:cs="Times New Roman"/>
                <w:sz w:val="16"/>
                <w:szCs w:val="16"/>
              </w:rPr>
              <w:t>No</w:t>
            </w:r>
          </w:p>
        </w:tc>
        <w:tc>
          <w:tcPr>
            <w:tcW w:w="1296" w:type="dxa"/>
            <w:tcBorders>
              <w:top w:val="nil"/>
              <w:bottom w:val="dotted" w:sz="4" w:space="0" w:color="auto"/>
            </w:tcBorders>
            <w:vAlign w:val="center"/>
          </w:tcPr>
          <w:p w14:paraId="78F7623D" w14:textId="4E916BDF" w:rsidR="00EC2B82" w:rsidRPr="0025109A" w:rsidRDefault="00EC2B82" w:rsidP="008349F4">
            <w:pPr>
              <w:spacing w:after="120" w:line="276" w:lineRule="auto"/>
              <w:jc w:val="center"/>
              <w:rPr>
                <w:rFonts w:ascii="Verdana" w:hAnsi="Verdana" w:cs="Times New Roman"/>
                <w:sz w:val="16"/>
                <w:szCs w:val="16"/>
              </w:rPr>
            </w:pPr>
            <w:r>
              <w:rPr>
                <w:rFonts w:ascii="Verdana" w:hAnsi="Verdana" w:cs="Times New Roman"/>
                <w:sz w:val="16"/>
                <w:szCs w:val="16"/>
              </w:rPr>
              <w:t>No</w:t>
            </w:r>
          </w:p>
        </w:tc>
        <w:tc>
          <w:tcPr>
            <w:tcW w:w="3600" w:type="dxa"/>
            <w:tcBorders>
              <w:top w:val="nil"/>
              <w:bottom w:val="dotted" w:sz="4" w:space="0" w:color="auto"/>
            </w:tcBorders>
            <w:vAlign w:val="center"/>
          </w:tcPr>
          <w:p w14:paraId="4580C0C3" w14:textId="4AA737CE" w:rsidR="00EC2B82" w:rsidRPr="0025109A" w:rsidRDefault="00EC2B82" w:rsidP="008349F4">
            <w:pPr>
              <w:spacing w:after="120" w:line="276" w:lineRule="auto"/>
              <w:jc w:val="center"/>
              <w:rPr>
                <w:rFonts w:ascii="Verdana" w:hAnsi="Verdana" w:cs="Times New Roman"/>
                <w:sz w:val="16"/>
                <w:szCs w:val="16"/>
              </w:rPr>
            </w:pPr>
            <w:r w:rsidRPr="0025109A">
              <w:rPr>
                <w:rFonts w:ascii="Verdana" w:hAnsi="Verdana" w:cs="Times New Roman"/>
                <w:sz w:val="16"/>
                <w:szCs w:val="16"/>
              </w:rPr>
              <w:t>School-based threat assessment referral</w:t>
            </w:r>
          </w:p>
        </w:tc>
      </w:tr>
      <w:tr w:rsidR="00EC2B82" w:rsidRPr="0025109A" w14:paraId="7FEA92B4" w14:textId="77777777" w:rsidTr="00BF163C">
        <w:tc>
          <w:tcPr>
            <w:tcW w:w="3456" w:type="dxa"/>
            <w:tcBorders>
              <w:top w:val="dotted" w:sz="4" w:space="0" w:color="auto"/>
              <w:bottom w:val="dotted" w:sz="4" w:space="0" w:color="auto"/>
            </w:tcBorders>
          </w:tcPr>
          <w:p w14:paraId="7CF12654" w14:textId="10AE0DC1" w:rsidR="00EC2B82" w:rsidRPr="002941EB" w:rsidRDefault="00EC2B82" w:rsidP="008349F4">
            <w:pPr>
              <w:spacing w:after="120" w:line="276" w:lineRule="auto"/>
              <w:rPr>
                <w:rStyle w:val="EndnoteReference"/>
                <w:highlight w:val="yellow"/>
              </w:rPr>
            </w:pPr>
            <w:r w:rsidRPr="00477650">
              <w:rPr>
                <w:rFonts w:ascii="Verdana" w:hAnsi="Verdana" w:cs="Segoe UI Semilight"/>
                <w:sz w:val="20"/>
                <w:szCs w:val="20"/>
              </w:rPr>
              <w:t>Fighting with major injury</w:t>
            </w:r>
            <w:r w:rsidRPr="00477650">
              <w:rPr>
                <w:rStyle w:val="EndnoteReference"/>
                <w:rFonts w:cs="Segoe UI Semilight"/>
                <w:szCs w:val="16"/>
              </w:rPr>
              <w:endnoteReference w:id="19"/>
            </w:r>
          </w:p>
        </w:tc>
        <w:tc>
          <w:tcPr>
            <w:tcW w:w="1296" w:type="dxa"/>
            <w:tcBorders>
              <w:top w:val="dotted" w:sz="4" w:space="0" w:color="auto"/>
              <w:bottom w:val="dotted" w:sz="4" w:space="0" w:color="auto"/>
            </w:tcBorders>
            <w:vAlign w:val="center"/>
          </w:tcPr>
          <w:p w14:paraId="4A587281" w14:textId="30090049"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3E2DA0CC" w14:textId="1BB2E783" w:rsidR="00EC2B82" w:rsidRPr="0025109A" w:rsidRDefault="00EC2B82" w:rsidP="008349F4">
            <w:pPr>
              <w:spacing w:after="120" w:line="276" w:lineRule="auto"/>
              <w:jc w:val="center"/>
              <w:rPr>
                <w:rFonts w:ascii="Verdana" w:hAnsi="Verdana" w:cs="Segoe UI Semilight"/>
                <w:sz w:val="20"/>
                <w:szCs w:val="20"/>
              </w:rPr>
            </w:pPr>
            <w:r w:rsidRPr="00605275">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777E7518" w14:textId="71688715" w:rsidR="00EC2B82" w:rsidRPr="0025109A" w:rsidRDefault="00EC2B82" w:rsidP="008349F4">
            <w:pPr>
              <w:spacing w:after="120" w:line="276" w:lineRule="auto"/>
              <w:jc w:val="center"/>
              <w:rPr>
                <w:rFonts w:ascii="Verdana" w:hAnsi="Verdana" w:cs="Segoe UI Semilight"/>
                <w:sz w:val="20"/>
                <w:szCs w:val="20"/>
              </w:rPr>
            </w:pPr>
            <w:r w:rsidRPr="00605275">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95F0265" w14:textId="216E6465" w:rsidR="00EC2B82" w:rsidRPr="0025109A" w:rsidRDefault="00EC2B82" w:rsidP="008349F4">
            <w:pPr>
              <w:spacing w:after="120" w:line="276" w:lineRule="auto"/>
              <w:jc w:val="center"/>
              <w:rPr>
                <w:rFonts w:ascii="Verdana" w:hAnsi="Verdana" w:cs="Segoe UI Semilight"/>
                <w:sz w:val="20"/>
                <w:szCs w:val="20"/>
              </w:rPr>
            </w:pPr>
            <w:r w:rsidRPr="00605275">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5CEBAD17" w14:textId="183DBF4E" w:rsidR="00EC2B82" w:rsidRPr="0025109A" w:rsidRDefault="00EC2B82" w:rsidP="008349F4">
            <w:pPr>
              <w:spacing w:after="120" w:line="276" w:lineRule="auto"/>
              <w:jc w:val="center"/>
              <w:rPr>
                <w:rFonts w:ascii="Verdana" w:hAnsi="Verdana" w:cs="Segoe UI Semilight"/>
                <w:sz w:val="16"/>
                <w:szCs w:val="16"/>
              </w:rPr>
            </w:pPr>
            <w:r w:rsidRPr="00605275">
              <w:rPr>
                <w:rFonts w:ascii="Verdana" w:hAnsi="Verdana" w:cs="Segoe UI Semilight"/>
                <w:sz w:val="16"/>
                <w:szCs w:val="16"/>
              </w:rPr>
              <w:t>No K–4</w:t>
            </w:r>
          </w:p>
        </w:tc>
        <w:tc>
          <w:tcPr>
            <w:tcW w:w="1296" w:type="dxa"/>
            <w:tcBorders>
              <w:top w:val="dotted" w:sz="4" w:space="0" w:color="auto"/>
              <w:bottom w:val="dotted" w:sz="4" w:space="0" w:color="auto"/>
            </w:tcBorders>
            <w:vAlign w:val="center"/>
          </w:tcPr>
          <w:p w14:paraId="585C215F" w14:textId="54BEE8AC" w:rsidR="00EC2B82" w:rsidRPr="0025109A" w:rsidRDefault="00EC2B82" w:rsidP="008349F4">
            <w:pPr>
              <w:spacing w:after="120" w:line="276" w:lineRule="auto"/>
              <w:jc w:val="center"/>
              <w:rPr>
                <w:rFonts w:ascii="Verdana" w:hAnsi="Verdana" w:cs="Segoe UI Semilight"/>
                <w:sz w:val="16"/>
                <w:szCs w:val="16"/>
              </w:rPr>
            </w:pPr>
            <w:r w:rsidRPr="00605275">
              <w:rPr>
                <w:rFonts w:ascii="Verdana" w:hAnsi="Verdana" w:cs="Segoe UI Semilight"/>
                <w:sz w:val="16"/>
                <w:szCs w:val="16"/>
              </w:rPr>
              <w:t>No K–4</w:t>
            </w:r>
          </w:p>
        </w:tc>
        <w:tc>
          <w:tcPr>
            <w:tcW w:w="3600" w:type="dxa"/>
            <w:tcBorders>
              <w:top w:val="dotted" w:sz="4" w:space="0" w:color="auto"/>
              <w:bottom w:val="dotted" w:sz="4" w:space="0" w:color="auto"/>
            </w:tcBorders>
            <w:vAlign w:val="center"/>
          </w:tcPr>
          <w:p w14:paraId="6179276E" w14:textId="3A203E25" w:rsidR="00EC2B82" w:rsidRPr="0025109A" w:rsidRDefault="00EC2B82" w:rsidP="008349F4">
            <w:pPr>
              <w:spacing w:after="120" w:line="276" w:lineRule="auto"/>
              <w:jc w:val="center"/>
              <w:rPr>
                <w:rFonts w:ascii="Verdana" w:hAnsi="Verdana" w:cs="Segoe UI Semilight"/>
                <w:sz w:val="16"/>
                <w:szCs w:val="16"/>
              </w:rPr>
            </w:pPr>
            <w:r w:rsidRPr="00A3124A">
              <w:rPr>
                <w:rFonts w:ascii="Verdana" w:hAnsi="Verdana" w:cs="Segoe UI Semilight"/>
                <w:sz w:val="16"/>
                <w:szCs w:val="16"/>
              </w:rPr>
              <w:t>School-based threat assessment referral</w:t>
            </w:r>
          </w:p>
        </w:tc>
      </w:tr>
      <w:tr w:rsidR="00EC2B82" w:rsidRPr="0025109A" w14:paraId="23166EBF" w14:textId="77777777" w:rsidTr="00BF163C">
        <w:tc>
          <w:tcPr>
            <w:tcW w:w="3456" w:type="dxa"/>
            <w:tcBorders>
              <w:top w:val="dotted" w:sz="4" w:space="0" w:color="auto"/>
              <w:bottom w:val="dotted" w:sz="4" w:space="0" w:color="auto"/>
            </w:tcBorders>
          </w:tcPr>
          <w:p w14:paraId="56B51CB7" w14:textId="4990CF0F" w:rsidR="00EC2B82" w:rsidRPr="0025109A" w:rsidRDefault="00EC2B82" w:rsidP="008349F4">
            <w:pPr>
              <w:spacing w:after="120" w:line="276" w:lineRule="auto"/>
              <w:rPr>
                <w:rFonts w:ascii="Verdana" w:hAnsi="Verdana" w:cs="Segoe UI Semilight"/>
                <w:sz w:val="20"/>
                <w:szCs w:val="20"/>
              </w:rPr>
            </w:pPr>
            <w:r w:rsidRPr="0025109A">
              <w:rPr>
                <w:rFonts w:ascii="Verdana" w:hAnsi="Verdana" w:cs="Segoe UI Semilight"/>
                <w:sz w:val="20"/>
                <w:szCs w:val="20"/>
              </w:rPr>
              <w:t>Sexual harassment</w:t>
            </w:r>
            <w:r w:rsidRPr="00420166">
              <w:rPr>
                <w:rStyle w:val="EndnoteReference"/>
                <w:rFonts w:cs="Segoe UI Semilight"/>
                <w:szCs w:val="16"/>
              </w:rPr>
              <w:endnoteReference w:id="20"/>
            </w:r>
          </w:p>
        </w:tc>
        <w:tc>
          <w:tcPr>
            <w:tcW w:w="1296" w:type="dxa"/>
            <w:tcBorders>
              <w:top w:val="dotted" w:sz="4" w:space="0" w:color="auto"/>
              <w:bottom w:val="dotted" w:sz="4" w:space="0" w:color="auto"/>
            </w:tcBorders>
            <w:vAlign w:val="center"/>
          </w:tcPr>
          <w:p w14:paraId="7D1B79A9" w14:textId="05CB0E41"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221738CA" w14:textId="0BF1072C"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6FEA628A" w14:textId="24200014"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0DD33B14" w14:textId="54C1AA07"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7B8E13F4" w14:textId="05F3DDF5"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14A05F7F" w14:textId="5EBBCD88"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677C3552" w14:textId="539EB72E"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 xml:space="preserve">Title IX </w:t>
            </w:r>
            <w:r>
              <w:rPr>
                <w:rFonts w:ascii="Verdana" w:hAnsi="Verdana" w:cs="Segoe UI Semilight"/>
                <w:sz w:val="16"/>
                <w:szCs w:val="16"/>
              </w:rPr>
              <w:t>Coordinato</w:t>
            </w:r>
            <w:r w:rsidRPr="0025109A">
              <w:rPr>
                <w:rFonts w:ascii="Verdana" w:hAnsi="Verdana" w:cs="Segoe UI Semilight"/>
                <w:sz w:val="16"/>
                <w:szCs w:val="16"/>
              </w:rPr>
              <w:t>r referral</w:t>
            </w:r>
          </w:p>
        </w:tc>
      </w:tr>
      <w:tr w:rsidR="00EC2B82" w:rsidRPr="0025109A" w14:paraId="4F6DB54D" w14:textId="77777777" w:rsidTr="00BF163C">
        <w:tc>
          <w:tcPr>
            <w:tcW w:w="3456" w:type="dxa"/>
            <w:tcBorders>
              <w:top w:val="dotted" w:sz="4" w:space="0" w:color="auto"/>
              <w:bottom w:val="dotted" w:sz="4" w:space="0" w:color="auto"/>
            </w:tcBorders>
          </w:tcPr>
          <w:p w14:paraId="4E07C457" w14:textId="572E4927" w:rsidR="00EC2B82" w:rsidRPr="0025109A" w:rsidRDefault="00EC2B82" w:rsidP="008349F4">
            <w:pPr>
              <w:spacing w:after="120" w:line="276" w:lineRule="auto"/>
              <w:rPr>
                <w:rFonts w:ascii="Verdana" w:hAnsi="Verdana" w:cs="Segoe UI Semilight"/>
                <w:sz w:val="20"/>
                <w:szCs w:val="20"/>
              </w:rPr>
            </w:pPr>
            <w:r w:rsidRPr="0025109A">
              <w:rPr>
                <w:rFonts w:ascii="Verdana" w:hAnsi="Verdana" w:cs="Segoe UI Semilight"/>
                <w:sz w:val="20"/>
                <w:szCs w:val="20"/>
              </w:rPr>
              <w:t>Discriminatory harassment</w:t>
            </w:r>
            <w:r w:rsidRPr="00420166">
              <w:rPr>
                <w:rStyle w:val="EndnoteReference"/>
                <w:rFonts w:cs="Segoe UI Semilight"/>
                <w:szCs w:val="16"/>
              </w:rPr>
              <w:endnoteReference w:id="21"/>
            </w:r>
          </w:p>
        </w:tc>
        <w:tc>
          <w:tcPr>
            <w:tcW w:w="1296" w:type="dxa"/>
            <w:tcBorders>
              <w:top w:val="dotted" w:sz="4" w:space="0" w:color="auto"/>
              <w:bottom w:val="dotted" w:sz="4" w:space="0" w:color="auto"/>
            </w:tcBorders>
            <w:vAlign w:val="center"/>
          </w:tcPr>
          <w:p w14:paraId="1B042396" w14:textId="36BFBE27"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08D5ED24" w14:textId="505CB69C"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11F721AC" w14:textId="73533BAD"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50D381AD" w14:textId="2D4853B6"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5D229A8B" w14:textId="09106904"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138FB864" w14:textId="7EEA9BF9"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0BA18B67" w14:textId="4B76DD8F"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Civil Rights Coordinator referral</w:t>
            </w:r>
            <w:r>
              <w:rPr>
                <w:rStyle w:val="EndnoteReference"/>
                <w:rFonts w:cs="Segoe UI Semilight"/>
                <w:szCs w:val="16"/>
              </w:rPr>
              <w:endnoteReference w:id="22"/>
            </w:r>
          </w:p>
        </w:tc>
      </w:tr>
      <w:tr w:rsidR="00EC2B82" w:rsidRPr="0025109A" w14:paraId="44857630" w14:textId="77777777" w:rsidTr="00BF163C">
        <w:tc>
          <w:tcPr>
            <w:tcW w:w="3456" w:type="dxa"/>
            <w:tcBorders>
              <w:top w:val="dotted" w:sz="4" w:space="0" w:color="auto"/>
              <w:bottom w:val="dotted" w:sz="4" w:space="0" w:color="auto"/>
            </w:tcBorders>
          </w:tcPr>
          <w:p w14:paraId="4426F33B" w14:textId="3B2AC453" w:rsidR="00EC2B82" w:rsidRPr="0025109A" w:rsidRDefault="00EC2B82" w:rsidP="008349F4">
            <w:pPr>
              <w:spacing w:after="120" w:line="276" w:lineRule="auto"/>
              <w:rPr>
                <w:rFonts w:ascii="Verdana" w:hAnsi="Verdana" w:cs="Segoe UI Semilight"/>
                <w:sz w:val="20"/>
                <w:szCs w:val="20"/>
              </w:rPr>
            </w:pPr>
            <w:r>
              <w:rPr>
                <w:rFonts w:ascii="Verdana" w:hAnsi="Verdana" w:cs="Segoe UI Semilight"/>
                <w:sz w:val="20"/>
                <w:szCs w:val="20"/>
              </w:rPr>
              <w:t>Malicious harassment</w:t>
            </w:r>
            <w:r>
              <w:rPr>
                <w:rStyle w:val="EndnoteReference"/>
                <w:rFonts w:cs="Segoe UI Semilight"/>
                <w:szCs w:val="20"/>
              </w:rPr>
              <w:endnoteReference w:id="23"/>
            </w:r>
          </w:p>
        </w:tc>
        <w:tc>
          <w:tcPr>
            <w:tcW w:w="1296" w:type="dxa"/>
            <w:tcBorders>
              <w:top w:val="dotted" w:sz="4" w:space="0" w:color="auto"/>
              <w:bottom w:val="dotted" w:sz="4" w:space="0" w:color="auto"/>
            </w:tcBorders>
            <w:vAlign w:val="center"/>
          </w:tcPr>
          <w:p w14:paraId="254DF7C0" w14:textId="1794353F"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3B264802" w14:textId="5C8C9F9D" w:rsidR="00EC2B82" w:rsidRPr="0025109A" w:rsidRDefault="00EC2B82" w:rsidP="008349F4">
            <w:pPr>
              <w:spacing w:after="120" w:line="276" w:lineRule="auto"/>
              <w:jc w:val="center"/>
              <w:rPr>
                <w:rFonts w:ascii="Verdana" w:hAnsi="Verdana" w:cs="Segoe UI Semilight"/>
                <w:sz w:val="20"/>
                <w:szCs w:val="20"/>
              </w:rPr>
            </w:pPr>
            <w:r w:rsidRPr="00A37924">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46A5449A" w14:textId="22DE8631" w:rsidR="00EC2B82" w:rsidRPr="0025109A" w:rsidRDefault="00EC2B82" w:rsidP="008349F4">
            <w:pPr>
              <w:spacing w:after="120" w:line="276" w:lineRule="auto"/>
              <w:jc w:val="center"/>
              <w:rPr>
                <w:rFonts w:ascii="Verdana" w:hAnsi="Verdana" w:cs="Segoe UI Semilight"/>
                <w:sz w:val="20"/>
                <w:szCs w:val="20"/>
              </w:rPr>
            </w:pPr>
            <w:r w:rsidRPr="00A37924">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D45938C" w14:textId="13835278" w:rsidR="00EC2B82" w:rsidRPr="0025109A" w:rsidRDefault="00EC2B82" w:rsidP="008349F4">
            <w:pPr>
              <w:spacing w:after="120" w:line="276" w:lineRule="auto"/>
              <w:jc w:val="center"/>
              <w:rPr>
                <w:rFonts w:ascii="Verdana" w:hAnsi="Verdana" w:cs="Segoe UI Semilight"/>
                <w:sz w:val="20"/>
                <w:szCs w:val="20"/>
              </w:rPr>
            </w:pPr>
            <w:r w:rsidRPr="00A37924">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013A4644" w14:textId="60256F55"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33A66177" w14:textId="0EBDF43C"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10F5E601" w14:textId="7C9747DA" w:rsidR="00EC2B82" w:rsidRPr="0025109A" w:rsidRDefault="00EC2B82" w:rsidP="008349F4">
            <w:pPr>
              <w:spacing w:after="120" w:line="276" w:lineRule="auto"/>
              <w:jc w:val="center"/>
              <w:rPr>
                <w:rFonts w:ascii="Verdana" w:hAnsi="Verdana" w:cs="Segoe UI Semilight"/>
                <w:sz w:val="16"/>
                <w:szCs w:val="16"/>
              </w:rPr>
            </w:pPr>
            <w:r w:rsidRPr="00A37924">
              <w:rPr>
                <w:rFonts w:ascii="Verdana" w:hAnsi="Verdana" w:cs="Segoe UI Semilight"/>
                <w:sz w:val="16"/>
                <w:szCs w:val="16"/>
              </w:rPr>
              <w:t>School-based threat assessment referral</w:t>
            </w:r>
          </w:p>
        </w:tc>
      </w:tr>
      <w:tr w:rsidR="00EC2B82" w:rsidRPr="0025109A" w14:paraId="379B48CB" w14:textId="77777777" w:rsidTr="00BF163C">
        <w:tc>
          <w:tcPr>
            <w:tcW w:w="3456" w:type="dxa"/>
            <w:tcBorders>
              <w:top w:val="dotted" w:sz="4" w:space="0" w:color="auto"/>
              <w:bottom w:val="dotted" w:sz="4" w:space="0" w:color="auto"/>
            </w:tcBorders>
          </w:tcPr>
          <w:p w14:paraId="2BB4F99E" w14:textId="4D8480E6" w:rsidR="00EC2B82" w:rsidRPr="0025109A" w:rsidRDefault="00EC2B82" w:rsidP="008349F4">
            <w:pPr>
              <w:spacing w:after="120" w:line="276" w:lineRule="auto"/>
              <w:rPr>
                <w:rFonts w:ascii="Verdana" w:hAnsi="Verdana" w:cs="Segoe UI Semilight"/>
                <w:sz w:val="20"/>
                <w:szCs w:val="20"/>
              </w:rPr>
            </w:pPr>
            <w:r w:rsidRPr="0025109A">
              <w:rPr>
                <w:rFonts w:ascii="Verdana" w:hAnsi="Verdana" w:cs="Segoe UI Semilight"/>
                <w:sz w:val="20"/>
                <w:szCs w:val="20"/>
              </w:rPr>
              <w:t>Arson</w:t>
            </w:r>
            <w:r w:rsidRPr="00420166">
              <w:rPr>
                <w:rStyle w:val="EndnoteReference"/>
                <w:rFonts w:cs="Segoe UI Semilight"/>
                <w:szCs w:val="16"/>
              </w:rPr>
              <w:endnoteReference w:id="24"/>
            </w:r>
          </w:p>
        </w:tc>
        <w:tc>
          <w:tcPr>
            <w:tcW w:w="1296" w:type="dxa"/>
            <w:tcBorders>
              <w:top w:val="dotted" w:sz="4" w:space="0" w:color="auto"/>
              <w:bottom w:val="dotted" w:sz="4" w:space="0" w:color="auto"/>
            </w:tcBorders>
            <w:vAlign w:val="center"/>
          </w:tcPr>
          <w:p w14:paraId="58D8F318" w14:textId="27ADA488"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15F2D19D" w14:textId="05A1E395"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1F602B1C" w14:textId="75CDE6AB"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762980E" w14:textId="67EC4D25"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2C70247C" w14:textId="3DA164A6"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1296" w:type="dxa"/>
            <w:tcBorders>
              <w:top w:val="dotted" w:sz="4" w:space="0" w:color="auto"/>
              <w:bottom w:val="dotted" w:sz="4" w:space="0" w:color="auto"/>
            </w:tcBorders>
            <w:vAlign w:val="center"/>
          </w:tcPr>
          <w:p w14:paraId="653462E4" w14:textId="2A30E376"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3600" w:type="dxa"/>
            <w:tcBorders>
              <w:top w:val="dotted" w:sz="4" w:space="0" w:color="auto"/>
              <w:bottom w:val="dotted" w:sz="4" w:space="0" w:color="auto"/>
            </w:tcBorders>
            <w:vAlign w:val="center"/>
          </w:tcPr>
          <w:p w14:paraId="25C2A75C" w14:textId="021693D0" w:rsidR="00EC2B82" w:rsidRPr="0025109A" w:rsidRDefault="00EC2B82" w:rsidP="008349F4">
            <w:pPr>
              <w:spacing w:after="120" w:line="276" w:lineRule="auto"/>
              <w:jc w:val="center"/>
              <w:rPr>
                <w:rFonts w:ascii="Verdana" w:hAnsi="Verdana" w:cs="Segoe UI Semilight"/>
                <w:sz w:val="16"/>
                <w:szCs w:val="16"/>
              </w:rPr>
            </w:pPr>
            <w:r w:rsidRPr="00633DB9">
              <w:rPr>
                <w:rFonts w:ascii="Verdana" w:hAnsi="Verdana" w:cs="Segoe UI Semilight"/>
                <w:sz w:val="16"/>
                <w:szCs w:val="16"/>
              </w:rPr>
              <w:t>School-based threat assessment referral</w:t>
            </w:r>
          </w:p>
        </w:tc>
      </w:tr>
      <w:tr w:rsidR="00EC2B82" w:rsidRPr="0025109A" w14:paraId="2EA126CE" w14:textId="77777777" w:rsidTr="00BF163C">
        <w:tc>
          <w:tcPr>
            <w:tcW w:w="3456" w:type="dxa"/>
            <w:tcBorders>
              <w:top w:val="dotted" w:sz="4" w:space="0" w:color="auto"/>
              <w:bottom w:val="dotted" w:sz="4" w:space="0" w:color="auto"/>
            </w:tcBorders>
          </w:tcPr>
          <w:p w14:paraId="34239F16" w14:textId="3B387450" w:rsidR="00EC2B82" w:rsidRPr="0025109A" w:rsidRDefault="00EC2B82" w:rsidP="008349F4">
            <w:pPr>
              <w:spacing w:after="120" w:line="276" w:lineRule="auto"/>
              <w:rPr>
                <w:rFonts w:ascii="Verdana" w:hAnsi="Verdana" w:cs="Segoe UI Semilight"/>
                <w:sz w:val="20"/>
                <w:szCs w:val="20"/>
              </w:rPr>
            </w:pPr>
            <w:r w:rsidRPr="0025109A">
              <w:rPr>
                <w:rFonts w:ascii="Verdana" w:hAnsi="Verdana" w:cs="Segoe UI Semilight"/>
                <w:sz w:val="20"/>
                <w:szCs w:val="20"/>
              </w:rPr>
              <w:t>Marijuana distribution</w:t>
            </w:r>
            <w:r w:rsidRPr="00420166">
              <w:rPr>
                <w:rStyle w:val="EndnoteReference"/>
                <w:rFonts w:cs="Segoe UI Semilight"/>
                <w:szCs w:val="16"/>
              </w:rPr>
              <w:endnoteReference w:id="25"/>
            </w:r>
          </w:p>
        </w:tc>
        <w:tc>
          <w:tcPr>
            <w:tcW w:w="1296" w:type="dxa"/>
            <w:tcBorders>
              <w:top w:val="dotted" w:sz="4" w:space="0" w:color="auto"/>
              <w:bottom w:val="dotted" w:sz="4" w:space="0" w:color="auto"/>
            </w:tcBorders>
            <w:vAlign w:val="center"/>
          </w:tcPr>
          <w:p w14:paraId="559AEFB9" w14:textId="3D7B52D7"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33EB7927" w14:textId="31217912"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6B93AB0D" w14:textId="07F4A134"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1B16026B" w14:textId="1B9C703F"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36677D8A" w14:textId="729DCEDA"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1296" w:type="dxa"/>
            <w:tcBorders>
              <w:top w:val="dotted" w:sz="4" w:space="0" w:color="auto"/>
              <w:bottom w:val="dotted" w:sz="4" w:space="0" w:color="auto"/>
            </w:tcBorders>
            <w:vAlign w:val="center"/>
          </w:tcPr>
          <w:p w14:paraId="3B47F997" w14:textId="714BCC3B"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3600" w:type="dxa"/>
            <w:tcBorders>
              <w:top w:val="dotted" w:sz="4" w:space="0" w:color="auto"/>
              <w:bottom w:val="dotted" w:sz="4" w:space="0" w:color="auto"/>
            </w:tcBorders>
            <w:vAlign w:val="center"/>
          </w:tcPr>
          <w:p w14:paraId="533EE341" w14:textId="45CB1A73"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Prevention/intervention referral</w:t>
            </w:r>
          </w:p>
        </w:tc>
      </w:tr>
      <w:tr w:rsidR="00EC2B82" w:rsidRPr="0025109A" w14:paraId="3F55D68D" w14:textId="77777777" w:rsidTr="00BF163C">
        <w:tc>
          <w:tcPr>
            <w:tcW w:w="3456" w:type="dxa"/>
            <w:tcBorders>
              <w:top w:val="dotted" w:sz="4" w:space="0" w:color="auto"/>
              <w:bottom w:val="dotted" w:sz="4" w:space="0" w:color="auto"/>
            </w:tcBorders>
          </w:tcPr>
          <w:p w14:paraId="5811565D" w14:textId="5709946E" w:rsidR="00EC2B82" w:rsidRPr="0025109A" w:rsidRDefault="00EC2B82" w:rsidP="008349F4">
            <w:pPr>
              <w:spacing w:after="120" w:line="276" w:lineRule="auto"/>
              <w:rPr>
                <w:rFonts w:ascii="Verdana" w:hAnsi="Verdana" w:cs="Segoe UI Semilight"/>
                <w:sz w:val="20"/>
                <w:szCs w:val="20"/>
              </w:rPr>
            </w:pPr>
            <w:r w:rsidRPr="0025109A">
              <w:rPr>
                <w:rFonts w:ascii="Verdana" w:hAnsi="Verdana" w:cs="Segoe UI Semilight"/>
                <w:sz w:val="20"/>
                <w:szCs w:val="20"/>
              </w:rPr>
              <w:lastRenderedPageBreak/>
              <w:t>Alcohol distribution</w:t>
            </w:r>
            <w:r w:rsidRPr="00420166">
              <w:rPr>
                <w:rStyle w:val="EndnoteReference"/>
                <w:rFonts w:cs="Segoe UI Semilight"/>
                <w:szCs w:val="16"/>
              </w:rPr>
              <w:endnoteReference w:id="26"/>
            </w:r>
          </w:p>
        </w:tc>
        <w:tc>
          <w:tcPr>
            <w:tcW w:w="1296" w:type="dxa"/>
            <w:tcBorders>
              <w:top w:val="dotted" w:sz="4" w:space="0" w:color="auto"/>
              <w:bottom w:val="dotted" w:sz="4" w:space="0" w:color="auto"/>
            </w:tcBorders>
            <w:vAlign w:val="center"/>
          </w:tcPr>
          <w:p w14:paraId="2C2B0514" w14:textId="14A26F42"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096E9B33" w14:textId="64A975C8"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73449937" w14:textId="25096E1C"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29B6BAD5" w14:textId="1629E28F"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622A4DED" w14:textId="5BD2818F"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0BFC610E" w14:textId="2A504945" w:rsidR="00EC2B82" w:rsidRPr="0025109A" w:rsidRDefault="00EC2B82" w:rsidP="008349F4">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6C241566" w14:textId="09A0759D"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Prevention/intervention referral</w:t>
            </w:r>
          </w:p>
        </w:tc>
      </w:tr>
      <w:tr w:rsidR="00EC2B82" w:rsidRPr="0025109A" w14:paraId="404379A5" w14:textId="77777777" w:rsidTr="00BF163C">
        <w:tc>
          <w:tcPr>
            <w:tcW w:w="3456" w:type="dxa"/>
            <w:tcBorders>
              <w:top w:val="dotted" w:sz="4" w:space="0" w:color="auto"/>
              <w:bottom w:val="dotted" w:sz="4" w:space="0" w:color="auto"/>
            </w:tcBorders>
          </w:tcPr>
          <w:p w14:paraId="35AD8735" w14:textId="5457170D" w:rsidR="00EC2B82" w:rsidRPr="0025109A" w:rsidRDefault="00EC2B82" w:rsidP="008349F4">
            <w:pPr>
              <w:spacing w:after="120" w:line="276" w:lineRule="auto"/>
              <w:rPr>
                <w:rFonts w:ascii="Verdana" w:hAnsi="Verdana" w:cs="Segoe UI Semilight"/>
                <w:sz w:val="20"/>
                <w:szCs w:val="20"/>
              </w:rPr>
            </w:pPr>
            <w:r w:rsidRPr="0025109A">
              <w:rPr>
                <w:rFonts w:ascii="Verdana" w:hAnsi="Verdana" w:cs="Segoe UI Semilight"/>
                <w:sz w:val="20"/>
                <w:szCs w:val="20"/>
              </w:rPr>
              <w:t>Gang intimidation or activity</w:t>
            </w:r>
            <w:r w:rsidRPr="00420166">
              <w:rPr>
                <w:rStyle w:val="EndnoteReference"/>
                <w:rFonts w:cs="Segoe UI Semilight"/>
                <w:szCs w:val="16"/>
              </w:rPr>
              <w:endnoteReference w:id="27"/>
            </w:r>
          </w:p>
        </w:tc>
        <w:tc>
          <w:tcPr>
            <w:tcW w:w="1296" w:type="dxa"/>
            <w:tcBorders>
              <w:top w:val="dotted" w:sz="4" w:space="0" w:color="auto"/>
              <w:bottom w:val="dotted" w:sz="4" w:space="0" w:color="auto"/>
            </w:tcBorders>
            <w:vAlign w:val="center"/>
          </w:tcPr>
          <w:p w14:paraId="5D28C216" w14:textId="5613C80F"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dotted" w:sz="4" w:space="0" w:color="auto"/>
            </w:tcBorders>
            <w:vAlign w:val="center"/>
          </w:tcPr>
          <w:p w14:paraId="7FAAAAEB" w14:textId="63EA9FD4"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516BECE9" w14:textId="0F5FDB6B"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346C8415" w14:textId="231301FB"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213E083" w14:textId="2C949E03"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1296" w:type="dxa"/>
            <w:tcBorders>
              <w:top w:val="dotted" w:sz="4" w:space="0" w:color="auto"/>
              <w:bottom w:val="dotted" w:sz="4" w:space="0" w:color="auto"/>
            </w:tcBorders>
            <w:vAlign w:val="center"/>
          </w:tcPr>
          <w:p w14:paraId="0F98D4FD" w14:textId="71F31BB0"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3600" w:type="dxa"/>
            <w:tcBorders>
              <w:top w:val="dotted" w:sz="4" w:space="0" w:color="auto"/>
              <w:bottom w:val="dotted" w:sz="4" w:space="0" w:color="auto"/>
            </w:tcBorders>
            <w:vAlign w:val="center"/>
          </w:tcPr>
          <w:p w14:paraId="752FA7C0" w14:textId="6095A6E9" w:rsidR="00EC2B82" w:rsidRPr="0025109A" w:rsidRDefault="00EC2B82" w:rsidP="008349F4">
            <w:pPr>
              <w:spacing w:after="120" w:line="276" w:lineRule="auto"/>
              <w:jc w:val="center"/>
              <w:rPr>
                <w:rFonts w:ascii="Verdana" w:hAnsi="Verdana" w:cs="Segoe UI Semilight"/>
                <w:sz w:val="16"/>
                <w:szCs w:val="16"/>
              </w:rPr>
            </w:pPr>
            <w:r w:rsidRPr="00A3124A">
              <w:rPr>
                <w:rFonts w:ascii="Verdana" w:hAnsi="Verdana" w:cs="Segoe UI Semilight"/>
                <w:sz w:val="16"/>
                <w:szCs w:val="16"/>
              </w:rPr>
              <w:t>School-based threat assessment referral</w:t>
            </w:r>
          </w:p>
        </w:tc>
      </w:tr>
      <w:tr w:rsidR="00EC2B82" w:rsidRPr="0025109A" w14:paraId="53454683" w14:textId="77777777" w:rsidTr="00BF163C">
        <w:tc>
          <w:tcPr>
            <w:tcW w:w="3456" w:type="dxa"/>
            <w:tcBorders>
              <w:top w:val="dotted" w:sz="4" w:space="0" w:color="auto"/>
              <w:bottom w:val="single" w:sz="12" w:space="0" w:color="auto"/>
            </w:tcBorders>
          </w:tcPr>
          <w:p w14:paraId="45739413" w14:textId="3CEE8BB3" w:rsidR="00EC2B82" w:rsidRPr="0025109A" w:rsidRDefault="00EC2B82" w:rsidP="008349F4">
            <w:pPr>
              <w:spacing w:after="120" w:line="276" w:lineRule="auto"/>
              <w:rPr>
                <w:rFonts w:ascii="Verdana" w:hAnsi="Verdana" w:cs="Segoe UI Semilight"/>
                <w:sz w:val="20"/>
                <w:szCs w:val="20"/>
              </w:rPr>
            </w:pPr>
            <w:r>
              <w:rPr>
                <w:rFonts w:ascii="Verdana" w:hAnsi="Verdana" w:cs="Segoe UI Semilight"/>
                <w:sz w:val="20"/>
                <w:szCs w:val="20"/>
              </w:rPr>
              <w:t>S</w:t>
            </w:r>
            <w:r w:rsidRPr="0025109A">
              <w:rPr>
                <w:rFonts w:ascii="Verdana" w:hAnsi="Verdana" w:cs="Segoe UI Semilight"/>
                <w:sz w:val="20"/>
                <w:szCs w:val="20"/>
              </w:rPr>
              <w:t xml:space="preserve">afety – </w:t>
            </w:r>
            <w:r w:rsidRPr="0025109A">
              <w:rPr>
                <w:rFonts w:ascii="Verdana" w:hAnsi="Verdana" w:cs="Times New Roman"/>
                <w:sz w:val="20"/>
                <w:szCs w:val="20"/>
              </w:rPr>
              <w:t>I</w:t>
            </w:r>
            <w:r w:rsidRPr="00420166">
              <w:rPr>
                <w:rStyle w:val="EndnoteReference"/>
                <w:rFonts w:cs="Segoe UI Semilight"/>
                <w:szCs w:val="16"/>
              </w:rPr>
              <w:endnoteReference w:id="28"/>
            </w:r>
          </w:p>
        </w:tc>
        <w:tc>
          <w:tcPr>
            <w:tcW w:w="1296" w:type="dxa"/>
            <w:tcBorders>
              <w:top w:val="dotted" w:sz="4" w:space="0" w:color="auto"/>
              <w:bottom w:val="single" w:sz="12" w:space="0" w:color="auto"/>
            </w:tcBorders>
            <w:vAlign w:val="center"/>
          </w:tcPr>
          <w:p w14:paraId="7E0467E7" w14:textId="702A913A" w:rsidR="00EC2B82" w:rsidRPr="000D20FA" w:rsidRDefault="00EC2B82" w:rsidP="008349F4">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F</w:t>
            </w:r>
          </w:p>
        </w:tc>
        <w:tc>
          <w:tcPr>
            <w:tcW w:w="1296" w:type="dxa"/>
            <w:tcBorders>
              <w:top w:val="dotted" w:sz="4" w:space="0" w:color="auto"/>
              <w:bottom w:val="single" w:sz="12" w:space="0" w:color="auto"/>
            </w:tcBorders>
            <w:vAlign w:val="center"/>
          </w:tcPr>
          <w:p w14:paraId="0A13024E" w14:textId="3D0350F9"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single" w:sz="12" w:space="0" w:color="auto"/>
            </w:tcBorders>
            <w:vAlign w:val="center"/>
          </w:tcPr>
          <w:p w14:paraId="164C27B5" w14:textId="180C593A"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single" w:sz="12" w:space="0" w:color="auto"/>
            </w:tcBorders>
            <w:vAlign w:val="center"/>
          </w:tcPr>
          <w:p w14:paraId="029BF52B" w14:textId="023E2485" w:rsidR="00EC2B82" w:rsidRPr="0025109A" w:rsidRDefault="00EC2B82" w:rsidP="008349F4">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single" w:sz="12" w:space="0" w:color="auto"/>
            </w:tcBorders>
            <w:vAlign w:val="center"/>
          </w:tcPr>
          <w:p w14:paraId="34191EC1" w14:textId="5CEB1326"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 K–4</w:t>
            </w:r>
          </w:p>
        </w:tc>
        <w:tc>
          <w:tcPr>
            <w:tcW w:w="1296" w:type="dxa"/>
            <w:tcBorders>
              <w:top w:val="dotted" w:sz="4" w:space="0" w:color="auto"/>
              <w:bottom w:val="single" w:sz="12" w:space="0" w:color="auto"/>
            </w:tcBorders>
            <w:vAlign w:val="center"/>
          </w:tcPr>
          <w:p w14:paraId="42BDAB6E" w14:textId="1ADBEE8F" w:rsidR="00EC2B82" w:rsidRPr="0025109A" w:rsidRDefault="00EC2B82" w:rsidP="008349F4">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single" w:sz="12" w:space="0" w:color="auto"/>
            </w:tcBorders>
            <w:vAlign w:val="center"/>
          </w:tcPr>
          <w:p w14:paraId="0166793A" w14:textId="4FAE639A" w:rsidR="00EC2B82" w:rsidRPr="0025109A" w:rsidRDefault="00EC2B82" w:rsidP="008349F4">
            <w:pPr>
              <w:spacing w:after="120" w:line="276" w:lineRule="auto"/>
              <w:jc w:val="center"/>
              <w:rPr>
                <w:rFonts w:ascii="Verdana" w:hAnsi="Verdana" w:cs="Segoe UI Semilight"/>
                <w:sz w:val="16"/>
                <w:szCs w:val="16"/>
              </w:rPr>
            </w:pPr>
            <w:r w:rsidRPr="00A3124A">
              <w:rPr>
                <w:rFonts w:ascii="Verdana" w:hAnsi="Verdana" w:cs="Segoe UI Semilight"/>
                <w:sz w:val="16"/>
                <w:szCs w:val="16"/>
              </w:rPr>
              <w:t>School-based threat assessment referral</w:t>
            </w:r>
          </w:p>
        </w:tc>
      </w:tr>
      <w:tr w:rsidR="00EC2B82" w:rsidRPr="0025109A" w14:paraId="0B4D04E7" w14:textId="77777777" w:rsidTr="00BF163C">
        <w:tc>
          <w:tcPr>
            <w:tcW w:w="3456" w:type="dxa"/>
            <w:tcBorders>
              <w:top w:val="single" w:sz="12" w:space="0" w:color="auto"/>
              <w:bottom w:val="nil"/>
            </w:tcBorders>
          </w:tcPr>
          <w:p w14:paraId="0636DE81" w14:textId="3DC53A4A" w:rsidR="00EC2B82" w:rsidRPr="0025109A" w:rsidRDefault="00EC2B82">
            <w:pPr>
              <w:rPr>
                <w:rFonts w:ascii="Verdana" w:hAnsi="Verdana" w:cs="Segoe UI Semilight"/>
                <w:b/>
                <w:bCs/>
                <w:i/>
                <w:iCs/>
                <w:sz w:val="24"/>
                <w:szCs w:val="24"/>
              </w:rPr>
            </w:pPr>
            <w:r w:rsidRPr="0025109A">
              <w:rPr>
                <w:rFonts w:ascii="Verdana" w:hAnsi="Verdana" w:cs="Segoe UI Semilight"/>
                <w:b/>
                <w:bCs/>
                <w:i/>
                <w:iCs/>
                <w:sz w:val="24"/>
                <w:szCs w:val="24"/>
              </w:rPr>
              <w:t>Type Three</w:t>
            </w:r>
          </w:p>
        </w:tc>
        <w:tc>
          <w:tcPr>
            <w:tcW w:w="1296" w:type="dxa"/>
            <w:tcBorders>
              <w:top w:val="single" w:sz="12" w:space="0" w:color="auto"/>
              <w:bottom w:val="nil"/>
            </w:tcBorders>
            <w:vAlign w:val="center"/>
          </w:tcPr>
          <w:p w14:paraId="0202A966" w14:textId="77777777" w:rsidR="00EC2B82" w:rsidRPr="000D20FA" w:rsidRDefault="00EC2B82" w:rsidP="00B353A2">
            <w:pPr>
              <w:jc w:val="center"/>
              <w:rPr>
                <w:rFonts w:ascii="Verdana" w:hAnsi="Verdana" w:cs="Segoe UI Semilight"/>
                <w:sz w:val="16"/>
                <w:szCs w:val="16"/>
              </w:rPr>
            </w:pPr>
          </w:p>
        </w:tc>
        <w:tc>
          <w:tcPr>
            <w:tcW w:w="1296" w:type="dxa"/>
            <w:tcBorders>
              <w:top w:val="single" w:sz="12" w:space="0" w:color="auto"/>
              <w:bottom w:val="nil"/>
            </w:tcBorders>
            <w:vAlign w:val="center"/>
          </w:tcPr>
          <w:p w14:paraId="3B2959D0" w14:textId="77777777" w:rsidR="00EC2B82" w:rsidRPr="0025109A" w:rsidRDefault="00EC2B82" w:rsidP="00E908AF">
            <w:pPr>
              <w:jc w:val="center"/>
              <w:rPr>
                <w:rFonts w:ascii="Verdana" w:hAnsi="Verdana" w:cs="Segoe UI Semilight"/>
                <w:sz w:val="16"/>
                <w:szCs w:val="16"/>
              </w:rPr>
            </w:pPr>
          </w:p>
        </w:tc>
        <w:tc>
          <w:tcPr>
            <w:tcW w:w="720" w:type="dxa"/>
            <w:tcBorders>
              <w:top w:val="single" w:sz="12" w:space="0" w:color="auto"/>
              <w:bottom w:val="nil"/>
            </w:tcBorders>
            <w:vAlign w:val="center"/>
          </w:tcPr>
          <w:p w14:paraId="3C675D67" w14:textId="77777777" w:rsidR="00EC2B82" w:rsidRPr="0025109A" w:rsidRDefault="00EC2B82" w:rsidP="00E908AF">
            <w:pPr>
              <w:jc w:val="center"/>
              <w:rPr>
                <w:rFonts w:ascii="Verdana" w:hAnsi="Verdana" w:cs="Segoe UI Semilight"/>
                <w:sz w:val="16"/>
                <w:szCs w:val="16"/>
              </w:rPr>
            </w:pPr>
          </w:p>
        </w:tc>
        <w:tc>
          <w:tcPr>
            <w:tcW w:w="864" w:type="dxa"/>
            <w:tcBorders>
              <w:top w:val="single" w:sz="12" w:space="0" w:color="auto"/>
              <w:bottom w:val="nil"/>
            </w:tcBorders>
            <w:vAlign w:val="center"/>
          </w:tcPr>
          <w:p w14:paraId="647704EB" w14:textId="77777777" w:rsidR="00EC2B82" w:rsidRPr="0025109A" w:rsidRDefault="00EC2B82" w:rsidP="00E908AF">
            <w:pPr>
              <w:jc w:val="center"/>
              <w:rPr>
                <w:rFonts w:ascii="Verdana" w:hAnsi="Verdana" w:cs="Segoe UI Semilight"/>
                <w:sz w:val="16"/>
                <w:szCs w:val="16"/>
              </w:rPr>
            </w:pPr>
          </w:p>
        </w:tc>
        <w:tc>
          <w:tcPr>
            <w:tcW w:w="864" w:type="dxa"/>
            <w:tcBorders>
              <w:top w:val="single" w:sz="12" w:space="0" w:color="auto"/>
              <w:bottom w:val="nil"/>
            </w:tcBorders>
            <w:vAlign w:val="center"/>
          </w:tcPr>
          <w:p w14:paraId="450496AB" w14:textId="77777777" w:rsidR="00EC2B82" w:rsidRPr="0025109A" w:rsidRDefault="00EC2B82" w:rsidP="00E908AF">
            <w:pPr>
              <w:jc w:val="center"/>
              <w:rPr>
                <w:rFonts w:ascii="Verdana" w:hAnsi="Verdana" w:cs="Segoe UI Semilight"/>
                <w:sz w:val="16"/>
                <w:szCs w:val="16"/>
              </w:rPr>
            </w:pPr>
          </w:p>
        </w:tc>
        <w:tc>
          <w:tcPr>
            <w:tcW w:w="1296" w:type="dxa"/>
            <w:tcBorders>
              <w:top w:val="single" w:sz="12" w:space="0" w:color="auto"/>
              <w:bottom w:val="nil"/>
            </w:tcBorders>
            <w:vAlign w:val="center"/>
          </w:tcPr>
          <w:p w14:paraId="5C14FC28" w14:textId="77777777" w:rsidR="00EC2B82" w:rsidRPr="0025109A" w:rsidRDefault="00EC2B82" w:rsidP="00E908AF">
            <w:pPr>
              <w:jc w:val="center"/>
              <w:rPr>
                <w:rFonts w:ascii="Verdana" w:hAnsi="Verdana" w:cs="Segoe UI Semilight"/>
                <w:sz w:val="16"/>
                <w:szCs w:val="16"/>
              </w:rPr>
            </w:pPr>
          </w:p>
        </w:tc>
        <w:tc>
          <w:tcPr>
            <w:tcW w:w="3600" w:type="dxa"/>
            <w:tcBorders>
              <w:top w:val="single" w:sz="12" w:space="0" w:color="auto"/>
              <w:bottom w:val="nil"/>
            </w:tcBorders>
            <w:vAlign w:val="center"/>
          </w:tcPr>
          <w:p w14:paraId="2C1A62CC" w14:textId="77777777" w:rsidR="00EC2B82" w:rsidRPr="0025109A" w:rsidRDefault="00EC2B82" w:rsidP="00E908AF">
            <w:pPr>
              <w:jc w:val="center"/>
              <w:rPr>
                <w:rFonts w:ascii="Verdana" w:hAnsi="Verdana" w:cs="Segoe UI Semilight"/>
                <w:sz w:val="16"/>
                <w:szCs w:val="16"/>
              </w:rPr>
            </w:pPr>
          </w:p>
        </w:tc>
      </w:tr>
      <w:tr w:rsidR="00EC2B82" w:rsidRPr="0025109A" w14:paraId="2339E7E1" w14:textId="77777777" w:rsidTr="00BF163C">
        <w:tc>
          <w:tcPr>
            <w:tcW w:w="3456" w:type="dxa"/>
            <w:tcBorders>
              <w:top w:val="nil"/>
              <w:bottom w:val="dotted" w:sz="4" w:space="0" w:color="auto"/>
            </w:tcBorders>
          </w:tcPr>
          <w:p w14:paraId="673BC2F2" w14:textId="1640E2EF" w:rsidR="00EC2B82" w:rsidRPr="0025109A" w:rsidRDefault="00EC2B82" w:rsidP="002F6FA8">
            <w:pPr>
              <w:spacing w:after="120" w:line="276" w:lineRule="auto"/>
              <w:rPr>
                <w:rFonts w:ascii="Verdana" w:hAnsi="Verdana" w:cs="Segoe UI Semilight"/>
                <w:sz w:val="20"/>
                <w:szCs w:val="20"/>
              </w:rPr>
            </w:pPr>
            <w:r>
              <w:rPr>
                <w:rFonts w:ascii="Verdana" w:hAnsi="Verdana" w:cs="Segoe UI Semilight"/>
                <w:sz w:val="20"/>
                <w:szCs w:val="20"/>
              </w:rPr>
              <w:t>Bullying</w:t>
            </w:r>
            <w:r w:rsidRPr="00420166">
              <w:rPr>
                <w:rStyle w:val="EndnoteReference"/>
                <w:rFonts w:cs="Segoe UI Semilight"/>
                <w:szCs w:val="16"/>
              </w:rPr>
              <w:endnoteReference w:id="29"/>
            </w:r>
          </w:p>
        </w:tc>
        <w:tc>
          <w:tcPr>
            <w:tcW w:w="1296" w:type="dxa"/>
            <w:tcBorders>
              <w:top w:val="nil"/>
              <w:bottom w:val="dotted" w:sz="4" w:space="0" w:color="auto"/>
            </w:tcBorders>
            <w:vAlign w:val="center"/>
          </w:tcPr>
          <w:p w14:paraId="7AB29AF9" w14:textId="69D5D542"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nil"/>
              <w:bottom w:val="dotted" w:sz="4" w:space="0" w:color="auto"/>
            </w:tcBorders>
            <w:vAlign w:val="center"/>
          </w:tcPr>
          <w:p w14:paraId="30F0333A" w14:textId="75FB4104"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nil"/>
              <w:bottom w:val="dotted" w:sz="4" w:space="0" w:color="auto"/>
            </w:tcBorders>
            <w:vAlign w:val="center"/>
          </w:tcPr>
          <w:p w14:paraId="09E9F9C9" w14:textId="6E2826E4"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nil"/>
              <w:bottom w:val="dotted" w:sz="4" w:space="0" w:color="auto"/>
            </w:tcBorders>
            <w:vAlign w:val="center"/>
          </w:tcPr>
          <w:p w14:paraId="702052F5" w14:textId="65942E8A"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nil"/>
              <w:bottom w:val="dotted" w:sz="4" w:space="0" w:color="auto"/>
            </w:tcBorders>
            <w:vAlign w:val="center"/>
          </w:tcPr>
          <w:p w14:paraId="231B7106" w14:textId="51C85ACD"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No</w:t>
            </w:r>
          </w:p>
        </w:tc>
        <w:tc>
          <w:tcPr>
            <w:tcW w:w="1296" w:type="dxa"/>
            <w:tcBorders>
              <w:top w:val="nil"/>
              <w:bottom w:val="dotted" w:sz="4" w:space="0" w:color="auto"/>
            </w:tcBorders>
            <w:vAlign w:val="center"/>
          </w:tcPr>
          <w:p w14:paraId="6ECBBBEF" w14:textId="52FA7A19"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No</w:t>
            </w:r>
          </w:p>
        </w:tc>
        <w:tc>
          <w:tcPr>
            <w:tcW w:w="3600" w:type="dxa"/>
            <w:tcBorders>
              <w:top w:val="nil"/>
              <w:bottom w:val="dotted" w:sz="4" w:space="0" w:color="auto"/>
            </w:tcBorders>
            <w:vAlign w:val="center"/>
          </w:tcPr>
          <w:p w14:paraId="18F5A7FA" w14:textId="7C09FCDA"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HIB Compliance Officer referral</w:t>
            </w:r>
            <w:r>
              <w:rPr>
                <w:rStyle w:val="EndnoteReference"/>
                <w:rFonts w:cs="Segoe UI Semilight"/>
                <w:szCs w:val="16"/>
              </w:rPr>
              <w:endnoteReference w:id="30"/>
            </w:r>
          </w:p>
        </w:tc>
      </w:tr>
      <w:tr w:rsidR="00EC2B82" w:rsidRPr="0025109A" w14:paraId="6A82AA89" w14:textId="77777777" w:rsidTr="00BF163C">
        <w:tc>
          <w:tcPr>
            <w:tcW w:w="3456" w:type="dxa"/>
            <w:tcBorders>
              <w:top w:val="dotted" w:sz="4" w:space="0" w:color="auto"/>
              <w:bottom w:val="dotted" w:sz="4" w:space="0" w:color="auto"/>
            </w:tcBorders>
          </w:tcPr>
          <w:p w14:paraId="5EAEFFC1" w14:textId="7EF105B7" w:rsidR="00EC2B82" w:rsidRPr="0025109A" w:rsidRDefault="00EC2B82" w:rsidP="002F6FA8">
            <w:pPr>
              <w:spacing w:after="120" w:line="276" w:lineRule="auto"/>
              <w:rPr>
                <w:rFonts w:ascii="Verdana" w:hAnsi="Verdana" w:cs="Segoe UI Semilight"/>
                <w:sz w:val="20"/>
                <w:szCs w:val="20"/>
              </w:rPr>
            </w:pPr>
            <w:r w:rsidRPr="0025109A">
              <w:rPr>
                <w:rFonts w:ascii="Verdana" w:hAnsi="Verdana" w:cs="Segoe UI Semilight"/>
                <w:sz w:val="20"/>
                <w:szCs w:val="20"/>
              </w:rPr>
              <w:t>Fighting without major injury</w:t>
            </w:r>
            <w:r w:rsidRPr="00420166">
              <w:rPr>
                <w:rStyle w:val="EndnoteReference"/>
                <w:rFonts w:cs="Segoe UI Semilight"/>
                <w:szCs w:val="16"/>
              </w:rPr>
              <w:endnoteReference w:id="31"/>
            </w:r>
          </w:p>
        </w:tc>
        <w:tc>
          <w:tcPr>
            <w:tcW w:w="1296" w:type="dxa"/>
            <w:tcBorders>
              <w:top w:val="dotted" w:sz="4" w:space="0" w:color="auto"/>
              <w:bottom w:val="dotted" w:sz="4" w:space="0" w:color="auto"/>
            </w:tcBorders>
            <w:vAlign w:val="center"/>
          </w:tcPr>
          <w:p w14:paraId="7A967516" w14:textId="0BAA66A5"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dotted" w:sz="4" w:space="0" w:color="auto"/>
            </w:tcBorders>
            <w:vAlign w:val="center"/>
          </w:tcPr>
          <w:p w14:paraId="7916D55C" w14:textId="10C2ACAF"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7C041ABC" w14:textId="10766115"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482A94A" w14:textId="5F9D7CA4"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63A5539F" w14:textId="7463E04A"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5885EF80" w14:textId="44C33BA3"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2541DB31" w14:textId="5A0EC1EB" w:rsidR="00EC2B82" w:rsidRPr="0025109A" w:rsidRDefault="00EC2B82" w:rsidP="002F6FA8">
            <w:pPr>
              <w:spacing w:after="120" w:line="276" w:lineRule="auto"/>
              <w:jc w:val="center"/>
              <w:rPr>
                <w:rFonts w:ascii="Verdana" w:hAnsi="Verdana" w:cs="Segoe UI Semilight"/>
                <w:sz w:val="16"/>
                <w:szCs w:val="16"/>
              </w:rPr>
            </w:pPr>
            <w:r w:rsidRPr="00305976">
              <w:rPr>
                <w:rFonts w:ascii="Verdana" w:hAnsi="Verdana" w:cs="Segoe UI Semilight"/>
                <w:sz w:val="16"/>
                <w:szCs w:val="16"/>
              </w:rPr>
              <w:t>School-based threat assessment referral</w:t>
            </w:r>
          </w:p>
        </w:tc>
      </w:tr>
      <w:tr w:rsidR="00EC2B82" w:rsidRPr="0025109A" w14:paraId="16C61A9C" w14:textId="77777777" w:rsidTr="00BF163C">
        <w:tc>
          <w:tcPr>
            <w:tcW w:w="3456" w:type="dxa"/>
            <w:tcBorders>
              <w:top w:val="dotted" w:sz="4" w:space="0" w:color="auto"/>
              <w:bottom w:val="dotted" w:sz="4" w:space="0" w:color="auto"/>
            </w:tcBorders>
          </w:tcPr>
          <w:p w14:paraId="2888AA7C" w14:textId="6DF5A5E0" w:rsidR="00EC2B82" w:rsidRPr="0025109A" w:rsidRDefault="00EC2B82" w:rsidP="002F6FA8">
            <w:pPr>
              <w:spacing w:after="120" w:line="276" w:lineRule="auto"/>
              <w:rPr>
                <w:rFonts w:ascii="Verdana" w:hAnsi="Verdana" w:cs="Segoe UI Semilight"/>
                <w:sz w:val="20"/>
                <w:szCs w:val="20"/>
              </w:rPr>
            </w:pPr>
            <w:r w:rsidRPr="0025109A">
              <w:rPr>
                <w:rFonts w:ascii="Verdana" w:hAnsi="Verdana" w:cs="Segoe UI Semilight"/>
                <w:sz w:val="20"/>
                <w:szCs w:val="20"/>
              </w:rPr>
              <w:t>Illicit drug possession or use</w:t>
            </w:r>
            <w:r w:rsidRPr="00090EAC">
              <w:rPr>
                <w:rStyle w:val="EndnoteReference"/>
                <w:rFonts w:cs="Segoe UI Semilight"/>
                <w:szCs w:val="16"/>
              </w:rPr>
              <w:endnoteReference w:id="32"/>
            </w:r>
          </w:p>
        </w:tc>
        <w:tc>
          <w:tcPr>
            <w:tcW w:w="1296" w:type="dxa"/>
            <w:tcBorders>
              <w:top w:val="dotted" w:sz="4" w:space="0" w:color="auto"/>
              <w:bottom w:val="dotted" w:sz="4" w:space="0" w:color="auto"/>
            </w:tcBorders>
            <w:vAlign w:val="center"/>
          </w:tcPr>
          <w:p w14:paraId="1E012965" w14:textId="167FC399"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dotted" w:sz="4" w:space="0" w:color="auto"/>
            </w:tcBorders>
            <w:vAlign w:val="center"/>
          </w:tcPr>
          <w:p w14:paraId="2D9DD312" w14:textId="0B613DF3"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1AB7290A" w14:textId="0949617A"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7FAE33C1" w14:textId="398D780F"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59046C1F" w14:textId="1E2B8663"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No K–4</w:t>
            </w:r>
          </w:p>
        </w:tc>
        <w:tc>
          <w:tcPr>
            <w:tcW w:w="1296" w:type="dxa"/>
            <w:tcBorders>
              <w:top w:val="dotted" w:sz="4" w:space="0" w:color="auto"/>
              <w:bottom w:val="dotted" w:sz="4" w:space="0" w:color="auto"/>
            </w:tcBorders>
            <w:vAlign w:val="center"/>
          </w:tcPr>
          <w:p w14:paraId="19B4C897" w14:textId="205A325E"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No K–4</w:t>
            </w:r>
          </w:p>
        </w:tc>
        <w:tc>
          <w:tcPr>
            <w:tcW w:w="3600" w:type="dxa"/>
            <w:tcBorders>
              <w:top w:val="dotted" w:sz="4" w:space="0" w:color="auto"/>
              <w:bottom w:val="dotted" w:sz="4" w:space="0" w:color="auto"/>
            </w:tcBorders>
            <w:vAlign w:val="center"/>
          </w:tcPr>
          <w:p w14:paraId="47800ED7" w14:textId="04BD84AC"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Prevention/intervention referral</w:t>
            </w:r>
          </w:p>
        </w:tc>
      </w:tr>
      <w:tr w:rsidR="00EC2B82" w:rsidRPr="0025109A" w14:paraId="1EECCA9B" w14:textId="77777777" w:rsidTr="00BF163C">
        <w:tc>
          <w:tcPr>
            <w:tcW w:w="3456" w:type="dxa"/>
            <w:tcBorders>
              <w:top w:val="dotted" w:sz="4" w:space="0" w:color="auto"/>
              <w:bottom w:val="dotted" w:sz="4" w:space="0" w:color="auto"/>
            </w:tcBorders>
          </w:tcPr>
          <w:p w14:paraId="0F5295F9" w14:textId="05D918EB" w:rsidR="00EC2B82" w:rsidRPr="0025109A" w:rsidRDefault="00EC2B82" w:rsidP="002F6FA8">
            <w:pPr>
              <w:spacing w:after="120" w:line="276" w:lineRule="auto"/>
              <w:rPr>
                <w:rFonts w:ascii="Verdana" w:hAnsi="Verdana" w:cs="Segoe UI Semilight"/>
                <w:sz w:val="20"/>
                <w:szCs w:val="20"/>
              </w:rPr>
            </w:pPr>
            <w:r w:rsidRPr="0025109A">
              <w:rPr>
                <w:rFonts w:ascii="Verdana" w:hAnsi="Verdana" w:cs="Segoe UI Semilight"/>
                <w:sz w:val="20"/>
                <w:szCs w:val="20"/>
              </w:rPr>
              <w:t>Marijuana possession or use</w:t>
            </w:r>
            <w:r w:rsidRPr="00090EAC">
              <w:rPr>
                <w:rStyle w:val="EndnoteReference"/>
                <w:rFonts w:cs="Segoe UI Semilight"/>
                <w:szCs w:val="16"/>
              </w:rPr>
              <w:endnoteReference w:id="33"/>
            </w:r>
          </w:p>
        </w:tc>
        <w:tc>
          <w:tcPr>
            <w:tcW w:w="1296" w:type="dxa"/>
            <w:tcBorders>
              <w:top w:val="dotted" w:sz="4" w:space="0" w:color="auto"/>
              <w:bottom w:val="dotted" w:sz="4" w:space="0" w:color="auto"/>
            </w:tcBorders>
            <w:vAlign w:val="center"/>
          </w:tcPr>
          <w:p w14:paraId="6E5035B7" w14:textId="3B72A605"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dotted" w:sz="4" w:space="0" w:color="auto"/>
            </w:tcBorders>
            <w:vAlign w:val="center"/>
          </w:tcPr>
          <w:p w14:paraId="16299988" w14:textId="3316C4F9"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54F3A72F" w14:textId="13F9741D"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2261996E" w14:textId="562F57E6"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1547E542" w14:textId="034EAD2F"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No K–4</w:t>
            </w:r>
          </w:p>
        </w:tc>
        <w:tc>
          <w:tcPr>
            <w:tcW w:w="1296" w:type="dxa"/>
            <w:tcBorders>
              <w:top w:val="dotted" w:sz="4" w:space="0" w:color="auto"/>
              <w:bottom w:val="dotted" w:sz="4" w:space="0" w:color="auto"/>
            </w:tcBorders>
            <w:vAlign w:val="center"/>
          </w:tcPr>
          <w:p w14:paraId="0232D5B8" w14:textId="2298FB89"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No K–4</w:t>
            </w:r>
          </w:p>
        </w:tc>
        <w:tc>
          <w:tcPr>
            <w:tcW w:w="3600" w:type="dxa"/>
            <w:tcBorders>
              <w:top w:val="dotted" w:sz="4" w:space="0" w:color="auto"/>
              <w:bottom w:val="dotted" w:sz="4" w:space="0" w:color="auto"/>
            </w:tcBorders>
            <w:vAlign w:val="center"/>
          </w:tcPr>
          <w:p w14:paraId="733DA4EB" w14:textId="710803FD"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Prevention/intervention referral</w:t>
            </w:r>
          </w:p>
        </w:tc>
      </w:tr>
      <w:tr w:rsidR="00EC2B82" w:rsidRPr="0025109A" w14:paraId="7ADB4F92" w14:textId="77777777" w:rsidTr="00BF163C">
        <w:tc>
          <w:tcPr>
            <w:tcW w:w="3456" w:type="dxa"/>
            <w:tcBorders>
              <w:top w:val="dotted" w:sz="4" w:space="0" w:color="auto"/>
              <w:bottom w:val="dotted" w:sz="4" w:space="0" w:color="auto"/>
            </w:tcBorders>
          </w:tcPr>
          <w:p w14:paraId="1087408F" w14:textId="10A6E20B" w:rsidR="00EC2B82" w:rsidRPr="0025109A" w:rsidRDefault="00EC2B82" w:rsidP="002F6FA8">
            <w:pPr>
              <w:spacing w:after="120" w:line="276" w:lineRule="auto"/>
              <w:rPr>
                <w:rFonts w:ascii="Verdana" w:hAnsi="Verdana" w:cs="Segoe UI Semilight"/>
                <w:sz w:val="20"/>
                <w:szCs w:val="20"/>
              </w:rPr>
            </w:pPr>
            <w:r w:rsidRPr="0025109A">
              <w:rPr>
                <w:rFonts w:ascii="Verdana" w:hAnsi="Verdana" w:cs="Segoe UI Semilight"/>
                <w:sz w:val="20"/>
                <w:szCs w:val="20"/>
              </w:rPr>
              <w:t>Alcohol possession or use</w:t>
            </w:r>
            <w:r w:rsidRPr="00090EAC">
              <w:rPr>
                <w:rStyle w:val="EndnoteReference"/>
                <w:rFonts w:cs="Segoe UI Semilight"/>
                <w:szCs w:val="16"/>
              </w:rPr>
              <w:endnoteReference w:id="34"/>
            </w:r>
          </w:p>
        </w:tc>
        <w:tc>
          <w:tcPr>
            <w:tcW w:w="1296" w:type="dxa"/>
            <w:tcBorders>
              <w:top w:val="dotted" w:sz="4" w:space="0" w:color="auto"/>
              <w:bottom w:val="dotted" w:sz="4" w:space="0" w:color="auto"/>
            </w:tcBorders>
            <w:vAlign w:val="center"/>
          </w:tcPr>
          <w:p w14:paraId="2FC45A62" w14:textId="1BFAD0C3"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dotted" w:sz="4" w:space="0" w:color="auto"/>
            </w:tcBorders>
            <w:vAlign w:val="center"/>
          </w:tcPr>
          <w:p w14:paraId="1ACC306E" w14:textId="3CAB17B3"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266AA2BC" w14:textId="77898027"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63F1D7AB" w14:textId="49FB5F14"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FEB9F00" w14:textId="27C0AC95" w:rsidR="00EC2B82" w:rsidRPr="0025109A" w:rsidRDefault="00EC2B82" w:rsidP="002F6FA8">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1D3FA1B6" w14:textId="1F685770" w:rsidR="00EC2B82" w:rsidRPr="0025109A" w:rsidRDefault="00EC2B82" w:rsidP="002F6FA8">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2D2B8D5F" w14:textId="62D42B0E" w:rsidR="00EC2B82" w:rsidRPr="0025109A" w:rsidRDefault="00EC2B82" w:rsidP="002F6FA8">
            <w:pPr>
              <w:spacing w:after="120" w:line="276" w:lineRule="auto"/>
              <w:jc w:val="center"/>
              <w:rPr>
                <w:rFonts w:ascii="Verdana" w:hAnsi="Verdana" w:cs="Segoe UI Semilight"/>
                <w:sz w:val="16"/>
                <w:szCs w:val="16"/>
              </w:rPr>
            </w:pPr>
            <w:r w:rsidRPr="00605275">
              <w:rPr>
                <w:rFonts w:ascii="Verdana" w:hAnsi="Verdana" w:cs="Segoe UI Semilight"/>
                <w:sz w:val="16"/>
                <w:szCs w:val="16"/>
              </w:rPr>
              <w:t>Prevention/intervention referral</w:t>
            </w:r>
          </w:p>
        </w:tc>
      </w:tr>
      <w:tr w:rsidR="00EC2B82" w:rsidRPr="0025109A" w14:paraId="2BF296CB" w14:textId="77777777" w:rsidTr="00BF163C">
        <w:tc>
          <w:tcPr>
            <w:tcW w:w="3456" w:type="dxa"/>
            <w:tcBorders>
              <w:top w:val="dotted" w:sz="4" w:space="0" w:color="auto"/>
              <w:bottom w:val="dotted" w:sz="4" w:space="0" w:color="auto"/>
            </w:tcBorders>
          </w:tcPr>
          <w:p w14:paraId="0E09BAED" w14:textId="33827313" w:rsidR="00EC2B82" w:rsidRPr="0025109A" w:rsidRDefault="00EC2B82" w:rsidP="002F6FA8">
            <w:pPr>
              <w:spacing w:after="120" w:line="276" w:lineRule="auto"/>
              <w:rPr>
                <w:rFonts w:ascii="Verdana" w:hAnsi="Verdana" w:cs="Segoe UI Semilight"/>
                <w:sz w:val="20"/>
                <w:szCs w:val="20"/>
              </w:rPr>
            </w:pPr>
            <w:r w:rsidRPr="0025109A">
              <w:rPr>
                <w:rFonts w:ascii="Verdana" w:hAnsi="Verdana" w:cs="Segoe UI Semilight"/>
                <w:sz w:val="20"/>
                <w:szCs w:val="20"/>
              </w:rPr>
              <w:t>Tobacco distribution</w:t>
            </w:r>
            <w:r>
              <w:rPr>
                <w:rStyle w:val="EndnoteReference"/>
                <w:rFonts w:cs="Segoe UI Semilight"/>
                <w:sz w:val="20"/>
                <w:szCs w:val="20"/>
              </w:rPr>
              <w:endnoteReference w:id="35"/>
            </w:r>
          </w:p>
        </w:tc>
        <w:tc>
          <w:tcPr>
            <w:tcW w:w="1296" w:type="dxa"/>
            <w:tcBorders>
              <w:top w:val="dotted" w:sz="4" w:space="0" w:color="auto"/>
              <w:bottom w:val="dotted" w:sz="4" w:space="0" w:color="auto"/>
            </w:tcBorders>
            <w:vAlign w:val="center"/>
          </w:tcPr>
          <w:p w14:paraId="2654D317" w14:textId="085164A6"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dotted" w:sz="4" w:space="0" w:color="auto"/>
            </w:tcBorders>
            <w:vAlign w:val="center"/>
          </w:tcPr>
          <w:p w14:paraId="1F32EDA7" w14:textId="05A667DF"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7FD3E067" w14:textId="34D179F3"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7E54CD38" w14:textId="128ADCF4"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1651DCA6" w14:textId="7B11AE90"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5D8A9728" w14:textId="18F47C38"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28D5C4FB" w14:textId="1C03D08E"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Prevention/intervention referral</w:t>
            </w:r>
          </w:p>
        </w:tc>
      </w:tr>
      <w:tr w:rsidR="00EC2B82" w:rsidRPr="0025109A" w14:paraId="44B4E3E4" w14:textId="77777777" w:rsidTr="00BF163C">
        <w:tc>
          <w:tcPr>
            <w:tcW w:w="3456" w:type="dxa"/>
            <w:tcBorders>
              <w:top w:val="dotted" w:sz="4" w:space="0" w:color="auto"/>
              <w:bottom w:val="dotted" w:sz="4" w:space="0" w:color="auto"/>
            </w:tcBorders>
          </w:tcPr>
          <w:p w14:paraId="7E6D674F" w14:textId="113F74E1" w:rsidR="00EC2B82" w:rsidRPr="0025109A" w:rsidRDefault="00EC2B82" w:rsidP="002F6FA8">
            <w:pPr>
              <w:spacing w:after="120" w:line="276" w:lineRule="auto"/>
              <w:rPr>
                <w:rFonts w:ascii="Verdana" w:hAnsi="Verdana" w:cs="Segoe UI Semilight"/>
                <w:sz w:val="20"/>
                <w:szCs w:val="20"/>
              </w:rPr>
            </w:pPr>
            <w:r>
              <w:rPr>
                <w:rFonts w:ascii="Verdana" w:hAnsi="Verdana" w:cs="Segoe UI Semilight"/>
                <w:sz w:val="20"/>
                <w:szCs w:val="20"/>
              </w:rPr>
              <w:t>Theft</w:t>
            </w:r>
            <w:r>
              <w:rPr>
                <w:rStyle w:val="EndnoteReference"/>
                <w:rFonts w:cs="Segoe UI Semilight"/>
                <w:szCs w:val="20"/>
              </w:rPr>
              <w:endnoteReference w:id="36"/>
            </w:r>
          </w:p>
        </w:tc>
        <w:tc>
          <w:tcPr>
            <w:tcW w:w="1296" w:type="dxa"/>
            <w:tcBorders>
              <w:top w:val="dotted" w:sz="4" w:space="0" w:color="auto"/>
              <w:bottom w:val="dotted" w:sz="4" w:space="0" w:color="auto"/>
            </w:tcBorders>
            <w:vAlign w:val="center"/>
          </w:tcPr>
          <w:p w14:paraId="46213996" w14:textId="4869EC2B"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dotted" w:sz="4" w:space="0" w:color="auto"/>
            </w:tcBorders>
            <w:vAlign w:val="center"/>
          </w:tcPr>
          <w:p w14:paraId="03AAFAF3" w14:textId="4109EEA5" w:rsidR="00EC2B82" w:rsidRPr="0025109A" w:rsidRDefault="00EC2B82" w:rsidP="002F6FA8">
            <w:pPr>
              <w:spacing w:after="120" w:line="276" w:lineRule="auto"/>
              <w:jc w:val="center"/>
              <w:rPr>
                <w:rFonts w:ascii="Verdana" w:hAnsi="Verdana" w:cs="Segoe UI Semilight"/>
                <w:sz w:val="20"/>
                <w:szCs w:val="20"/>
              </w:rPr>
            </w:pPr>
            <w:r w:rsidRPr="00386281">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5169EC61" w14:textId="00874D77" w:rsidR="00EC2B82" w:rsidRPr="0025109A" w:rsidRDefault="00EC2B82" w:rsidP="002F6FA8">
            <w:pPr>
              <w:spacing w:after="120" w:line="276" w:lineRule="auto"/>
              <w:jc w:val="center"/>
              <w:rPr>
                <w:rFonts w:ascii="Verdana" w:hAnsi="Verdana" w:cs="Segoe UI Semilight"/>
                <w:sz w:val="20"/>
                <w:szCs w:val="20"/>
              </w:rPr>
            </w:pPr>
            <w:r w:rsidRPr="00386281">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679E369A" w14:textId="46063ED4" w:rsidR="00EC2B82" w:rsidRPr="0025109A" w:rsidRDefault="00EC2B82" w:rsidP="002F6FA8">
            <w:pPr>
              <w:spacing w:after="120" w:line="276" w:lineRule="auto"/>
              <w:jc w:val="center"/>
              <w:rPr>
                <w:rFonts w:ascii="Verdana" w:hAnsi="Verdana" w:cs="Segoe UI Semilight"/>
                <w:sz w:val="20"/>
                <w:szCs w:val="20"/>
              </w:rPr>
            </w:pPr>
            <w:r w:rsidRPr="00386281">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3BA1AB54" w14:textId="58F58953" w:rsidR="00EC2B82" w:rsidRPr="0025109A" w:rsidRDefault="00EC2B82" w:rsidP="002F6FA8">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4436993F" w14:textId="0DF74BFA" w:rsidR="00EC2B82" w:rsidRPr="0025109A" w:rsidRDefault="00EC2B82" w:rsidP="002F6FA8">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7DA1D6A8" w14:textId="77777777" w:rsidR="00EC2B82" w:rsidRPr="0025109A" w:rsidRDefault="00EC2B82" w:rsidP="002F6FA8">
            <w:pPr>
              <w:spacing w:after="120" w:line="276" w:lineRule="auto"/>
              <w:jc w:val="center"/>
              <w:rPr>
                <w:rFonts w:ascii="Verdana" w:hAnsi="Verdana" w:cs="Segoe UI Semilight"/>
                <w:sz w:val="16"/>
                <w:szCs w:val="16"/>
              </w:rPr>
            </w:pPr>
          </w:p>
        </w:tc>
      </w:tr>
      <w:tr w:rsidR="00EC2B82" w:rsidRPr="0025109A" w14:paraId="7525C041" w14:textId="77777777" w:rsidTr="00BF163C">
        <w:tc>
          <w:tcPr>
            <w:tcW w:w="3456" w:type="dxa"/>
            <w:tcBorders>
              <w:top w:val="dotted" w:sz="4" w:space="0" w:color="auto"/>
              <w:bottom w:val="single" w:sz="12" w:space="0" w:color="auto"/>
            </w:tcBorders>
          </w:tcPr>
          <w:p w14:paraId="2B274EF9" w14:textId="7DC5D966" w:rsidR="00EC2B82" w:rsidRPr="0025109A" w:rsidRDefault="00EC2B82" w:rsidP="002F6FA8">
            <w:pPr>
              <w:spacing w:after="120" w:line="276" w:lineRule="auto"/>
              <w:rPr>
                <w:rFonts w:ascii="Verdana" w:hAnsi="Verdana" w:cs="Segoe UI Semilight"/>
                <w:sz w:val="20"/>
                <w:szCs w:val="20"/>
              </w:rPr>
            </w:pPr>
            <w:r w:rsidRPr="0025109A">
              <w:rPr>
                <w:rFonts w:ascii="Verdana" w:hAnsi="Verdana" w:cs="Segoe UI Semilight"/>
                <w:sz w:val="20"/>
                <w:szCs w:val="20"/>
              </w:rPr>
              <w:t xml:space="preserve">Other – </w:t>
            </w:r>
            <w:r w:rsidRPr="0025109A">
              <w:rPr>
                <w:rFonts w:ascii="Verdana" w:hAnsi="Verdana" w:cs="Times New Roman"/>
                <w:sz w:val="20"/>
                <w:szCs w:val="20"/>
              </w:rPr>
              <w:t>III</w:t>
            </w:r>
            <w:r w:rsidRPr="00420166">
              <w:rPr>
                <w:rStyle w:val="EndnoteReference"/>
                <w:rFonts w:cs="Times New Roman"/>
                <w:szCs w:val="16"/>
              </w:rPr>
              <w:endnoteReference w:id="37"/>
            </w:r>
          </w:p>
        </w:tc>
        <w:tc>
          <w:tcPr>
            <w:tcW w:w="1296" w:type="dxa"/>
            <w:tcBorders>
              <w:top w:val="dotted" w:sz="4" w:space="0" w:color="auto"/>
              <w:bottom w:val="single" w:sz="12" w:space="0" w:color="auto"/>
            </w:tcBorders>
            <w:vAlign w:val="center"/>
          </w:tcPr>
          <w:p w14:paraId="1E0D7FB3" w14:textId="2E1DD435" w:rsidR="00EC2B82" w:rsidRPr="000D20FA" w:rsidRDefault="00EC2B82" w:rsidP="002F6FA8">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E</w:t>
            </w:r>
          </w:p>
        </w:tc>
        <w:tc>
          <w:tcPr>
            <w:tcW w:w="1296" w:type="dxa"/>
            <w:tcBorders>
              <w:top w:val="dotted" w:sz="4" w:space="0" w:color="auto"/>
              <w:bottom w:val="single" w:sz="12" w:space="0" w:color="auto"/>
            </w:tcBorders>
            <w:vAlign w:val="center"/>
          </w:tcPr>
          <w:p w14:paraId="06E8B652" w14:textId="412F9BBE"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720" w:type="dxa"/>
            <w:tcBorders>
              <w:top w:val="dotted" w:sz="4" w:space="0" w:color="auto"/>
              <w:bottom w:val="single" w:sz="12" w:space="0" w:color="auto"/>
            </w:tcBorders>
            <w:vAlign w:val="center"/>
          </w:tcPr>
          <w:p w14:paraId="28A7156C" w14:textId="61A564CA"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single" w:sz="12" w:space="0" w:color="auto"/>
            </w:tcBorders>
            <w:vAlign w:val="center"/>
          </w:tcPr>
          <w:p w14:paraId="2CED9B77" w14:textId="2FFF18B5" w:rsidR="00EC2B82" w:rsidRPr="0025109A" w:rsidRDefault="00EC2B82" w:rsidP="002F6FA8">
            <w:pPr>
              <w:spacing w:after="120" w:line="276" w:lineRule="auto"/>
              <w:jc w:val="center"/>
              <w:rPr>
                <w:rFonts w:ascii="Verdana" w:hAnsi="Verdana" w:cs="Segoe UI Semilight"/>
                <w:sz w:val="20"/>
                <w:szCs w:val="20"/>
              </w:rPr>
            </w:pPr>
            <w:r w:rsidRPr="0025109A">
              <w:rPr>
                <w:rFonts w:ascii="Verdana" w:hAnsi="Verdana" w:cs="Segoe UI Semilight"/>
                <w:sz w:val="20"/>
                <w:szCs w:val="20"/>
              </w:rPr>
              <w:sym w:font="Wingdings" w:char="F0FC"/>
            </w:r>
          </w:p>
        </w:tc>
        <w:tc>
          <w:tcPr>
            <w:tcW w:w="864" w:type="dxa"/>
            <w:tcBorders>
              <w:top w:val="dotted" w:sz="4" w:space="0" w:color="auto"/>
              <w:bottom w:val="single" w:sz="12" w:space="0" w:color="auto"/>
            </w:tcBorders>
            <w:vAlign w:val="center"/>
          </w:tcPr>
          <w:p w14:paraId="3271E5CB" w14:textId="03DBC873"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single" w:sz="12" w:space="0" w:color="auto"/>
            </w:tcBorders>
            <w:vAlign w:val="center"/>
          </w:tcPr>
          <w:p w14:paraId="5689741D" w14:textId="683E0F11" w:rsidR="00EC2B82" w:rsidRPr="0025109A" w:rsidRDefault="00EC2B82" w:rsidP="002F6FA8">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single" w:sz="12" w:space="0" w:color="auto"/>
            </w:tcBorders>
            <w:vAlign w:val="center"/>
          </w:tcPr>
          <w:p w14:paraId="72384E6E" w14:textId="77777777" w:rsidR="00EC2B82" w:rsidRPr="0025109A" w:rsidRDefault="00EC2B82" w:rsidP="002F6FA8">
            <w:pPr>
              <w:spacing w:after="120" w:line="276" w:lineRule="auto"/>
              <w:jc w:val="center"/>
              <w:rPr>
                <w:rFonts w:ascii="Verdana" w:hAnsi="Verdana" w:cs="Segoe UI Semilight"/>
                <w:sz w:val="16"/>
                <w:szCs w:val="16"/>
              </w:rPr>
            </w:pPr>
          </w:p>
        </w:tc>
      </w:tr>
      <w:tr w:rsidR="00EC2B82" w:rsidRPr="0025109A" w14:paraId="7D0D7E3B" w14:textId="77777777" w:rsidTr="00BF163C">
        <w:tc>
          <w:tcPr>
            <w:tcW w:w="3456" w:type="dxa"/>
            <w:tcBorders>
              <w:top w:val="single" w:sz="12" w:space="0" w:color="auto"/>
              <w:bottom w:val="nil"/>
            </w:tcBorders>
          </w:tcPr>
          <w:p w14:paraId="461B2482" w14:textId="32E84B9B" w:rsidR="00EC2B82" w:rsidRPr="0025109A" w:rsidRDefault="00EC2B82">
            <w:pPr>
              <w:rPr>
                <w:rFonts w:ascii="Verdana" w:hAnsi="Verdana" w:cs="Segoe UI Semilight"/>
                <w:b/>
                <w:bCs/>
                <w:i/>
                <w:iCs/>
                <w:sz w:val="24"/>
                <w:szCs w:val="24"/>
              </w:rPr>
            </w:pPr>
            <w:r w:rsidRPr="0025109A">
              <w:rPr>
                <w:rFonts w:ascii="Verdana" w:hAnsi="Verdana" w:cs="Segoe UI Semilight"/>
                <w:b/>
                <w:bCs/>
                <w:i/>
                <w:iCs/>
                <w:sz w:val="24"/>
                <w:szCs w:val="24"/>
              </w:rPr>
              <w:t>Type Two</w:t>
            </w:r>
          </w:p>
        </w:tc>
        <w:tc>
          <w:tcPr>
            <w:tcW w:w="1296" w:type="dxa"/>
            <w:tcBorders>
              <w:top w:val="single" w:sz="12" w:space="0" w:color="auto"/>
              <w:bottom w:val="nil"/>
            </w:tcBorders>
            <w:vAlign w:val="center"/>
          </w:tcPr>
          <w:p w14:paraId="1A54695E" w14:textId="77777777" w:rsidR="00EC2B82" w:rsidRPr="000D20FA" w:rsidRDefault="00EC2B82" w:rsidP="00B353A2">
            <w:pPr>
              <w:jc w:val="center"/>
              <w:rPr>
                <w:rFonts w:ascii="Verdana" w:hAnsi="Verdana" w:cs="Segoe UI Semilight"/>
                <w:sz w:val="16"/>
                <w:szCs w:val="16"/>
              </w:rPr>
            </w:pPr>
          </w:p>
        </w:tc>
        <w:tc>
          <w:tcPr>
            <w:tcW w:w="1296" w:type="dxa"/>
            <w:tcBorders>
              <w:top w:val="single" w:sz="12" w:space="0" w:color="auto"/>
              <w:bottom w:val="nil"/>
            </w:tcBorders>
            <w:vAlign w:val="center"/>
          </w:tcPr>
          <w:p w14:paraId="335B0255" w14:textId="77777777" w:rsidR="00EC2B82" w:rsidRPr="0025109A" w:rsidRDefault="00EC2B82" w:rsidP="00E908AF">
            <w:pPr>
              <w:jc w:val="center"/>
              <w:rPr>
                <w:rFonts w:ascii="Verdana" w:hAnsi="Verdana" w:cs="Segoe UI Semilight"/>
                <w:sz w:val="16"/>
                <w:szCs w:val="16"/>
              </w:rPr>
            </w:pPr>
          </w:p>
        </w:tc>
        <w:tc>
          <w:tcPr>
            <w:tcW w:w="720" w:type="dxa"/>
            <w:tcBorders>
              <w:top w:val="single" w:sz="12" w:space="0" w:color="auto"/>
              <w:bottom w:val="nil"/>
            </w:tcBorders>
            <w:vAlign w:val="center"/>
          </w:tcPr>
          <w:p w14:paraId="45753FC9" w14:textId="77777777" w:rsidR="00EC2B82" w:rsidRPr="00CB42C1" w:rsidRDefault="00EC2B82" w:rsidP="00E908AF">
            <w:pPr>
              <w:jc w:val="center"/>
              <w:rPr>
                <w:rFonts w:ascii="Verdana" w:hAnsi="Verdana" w:cs="Segoe UI Semilight"/>
                <w:sz w:val="20"/>
                <w:szCs w:val="20"/>
              </w:rPr>
            </w:pPr>
          </w:p>
        </w:tc>
        <w:tc>
          <w:tcPr>
            <w:tcW w:w="864" w:type="dxa"/>
            <w:tcBorders>
              <w:top w:val="single" w:sz="12" w:space="0" w:color="auto"/>
              <w:bottom w:val="nil"/>
            </w:tcBorders>
            <w:vAlign w:val="center"/>
          </w:tcPr>
          <w:p w14:paraId="3E1CD1BE" w14:textId="77777777" w:rsidR="00EC2B82" w:rsidRPr="0025109A" w:rsidRDefault="00EC2B82" w:rsidP="00E908AF">
            <w:pPr>
              <w:jc w:val="center"/>
              <w:rPr>
                <w:rFonts w:ascii="Verdana" w:hAnsi="Verdana" w:cs="Segoe UI Semilight"/>
                <w:sz w:val="16"/>
                <w:szCs w:val="16"/>
              </w:rPr>
            </w:pPr>
          </w:p>
        </w:tc>
        <w:tc>
          <w:tcPr>
            <w:tcW w:w="864" w:type="dxa"/>
            <w:tcBorders>
              <w:top w:val="single" w:sz="12" w:space="0" w:color="auto"/>
              <w:bottom w:val="nil"/>
            </w:tcBorders>
            <w:vAlign w:val="center"/>
          </w:tcPr>
          <w:p w14:paraId="72A74A0D" w14:textId="77777777" w:rsidR="00EC2B82" w:rsidRPr="0025109A" w:rsidRDefault="00EC2B82" w:rsidP="00E908AF">
            <w:pPr>
              <w:jc w:val="center"/>
              <w:rPr>
                <w:rFonts w:ascii="Verdana" w:hAnsi="Verdana" w:cs="Segoe UI Semilight"/>
                <w:sz w:val="16"/>
                <w:szCs w:val="16"/>
              </w:rPr>
            </w:pPr>
          </w:p>
        </w:tc>
        <w:tc>
          <w:tcPr>
            <w:tcW w:w="1296" w:type="dxa"/>
            <w:tcBorders>
              <w:top w:val="single" w:sz="12" w:space="0" w:color="auto"/>
              <w:bottom w:val="nil"/>
            </w:tcBorders>
            <w:vAlign w:val="center"/>
          </w:tcPr>
          <w:p w14:paraId="16D0C15F" w14:textId="77777777" w:rsidR="00EC2B82" w:rsidRPr="0025109A" w:rsidRDefault="00EC2B82" w:rsidP="00E908AF">
            <w:pPr>
              <w:jc w:val="center"/>
              <w:rPr>
                <w:rFonts w:ascii="Verdana" w:hAnsi="Verdana" w:cs="Segoe UI Semilight"/>
                <w:sz w:val="16"/>
                <w:szCs w:val="16"/>
              </w:rPr>
            </w:pPr>
          </w:p>
        </w:tc>
        <w:tc>
          <w:tcPr>
            <w:tcW w:w="3600" w:type="dxa"/>
            <w:tcBorders>
              <w:top w:val="single" w:sz="12" w:space="0" w:color="auto"/>
              <w:bottom w:val="nil"/>
            </w:tcBorders>
            <w:vAlign w:val="center"/>
          </w:tcPr>
          <w:p w14:paraId="61971BAC" w14:textId="77777777" w:rsidR="00EC2B82" w:rsidRPr="0025109A" w:rsidRDefault="00EC2B82" w:rsidP="00E908AF">
            <w:pPr>
              <w:jc w:val="center"/>
              <w:rPr>
                <w:rFonts w:ascii="Verdana" w:hAnsi="Verdana" w:cs="Segoe UI Semilight"/>
                <w:sz w:val="16"/>
                <w:szCs w:val="16"/>
              </w:rPr>
            </w:pPr>
          </w:p>
        </w:tc>
      </w:tr>
      <w:tr w:rsidR="00EC2B82" w:rsidRPr="0025109A" w14:paraId="4576EE82" w14:textId="77777777" w:rsidTr="00BF163C">
        <w:tc>
          <w:tcPr>
            <w:tcW w:w="3456" w:type="dxa"/>
            <w:tcBorders>
              <w:top w:val="nil"/>
              <w:bottom w:val="dotted" w:sz="4" w:space="0" w:color="auto"/>
            </w:tcBorders>
          </w:tcPr>
          <w:p w14:paraId="3BCBD84F" w14:textId="08385363"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Destruction of property</w:t>
            </w:r>
            <w:r w:rsidRPr="00420166">
              <w:rPr>
                <w:rStyle w:val="EndnoteReference"/>
                <w:rFonts w:cs="Times New Roman"/>
                <w:szCs w:val="16"/>
              </w:rPr>
              <w:endnoteReference w:id="38"/>
            </w:r>
          </w:p>
        </w:tc>
        <w:tc>
          <w:tcPr>
            <w:tcW w:w="1296" w:type="dxa"/>
            <w:tcBorders>
              <w:top w:val="nil"/>
              <w:bottom w:val="dotted" w:sz="4" w:space="0" w:color="auto"/>
            </w:tcBorders>
            <w:vAlign w:val="center"/>
          </w:tcPr>
          <w:p w14:paraId="163613B6" w14:textId="364F023E"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nil"/>
              <w:bottom w:val="dotted" w:sz="4" w:space="0" w:color="auto"/>
            </w:tcBorders>
            <w:vAlign w:val="center"/>
          </w:tcPr>
          <w:p w14:paraId="339EEBC2" w14:textId="5F87F02E"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nil"/>
              <w:bottom w:val="dotted" w:sz="4" w:space="0" w:color="auto"/>
            </w:tcBorders>
            <w:vAlign w:val="center"/>
          </w:tcPr>
          <w:p w14:paraId="72C7459E" w14:textId="4F8130F8" w:rsidR="00EC2B82" w:rsidRPr="00CB42C1" w:rsidRDefault="00EC2B82" w:rsidP="00D50B6C">
            <w:pPr>
              <w:spacing w:after="120" w:line="276" w:lineRule="auto"/>
              <w:jc w:val="center"/>
              <w:rPr>
                <w:rFonts w:ascii="Verdana" w:hAnsi="Verdana" w:cs="Segoe UI Semilight"/>
                <w:sz w:val="20"/>
                <w:szCs w:val="20"/>
              </w:rPr>
            </w:pPr>
            <w:r w:rsidRPr="00CB42C1">
              <w:rPr>
                <w:rFonts w:ascii="Verdana" w:hAnsi="Verdana" w:cs="Segoe UI Semilight"/>
                <w:sz w:val="20"/>
                <w:szCs w:val="20"/>
              </w:rPr>
              <w:sym w:font="Wingdings" w:char="F0FC"/>
            </w:r>
          </w:p>
        </w:tc>
        <w:tc>
          <w:tcPr>
            <w:tcW w:w="864" w:type="dxa"/>
            <w:tcBorders>
              <w:top w:val="nil"/>
              <w:bottom w:val="dotted" w:sz="4" w:space="0" w:color="auto"/>
            </w:tcBorders>
            <w:vAlign w:val="center"/>
          </w:tcPr>
          <w:p w14:paraId="61C6BDED" w14:textId="1AD8D7F8" w:rsidR="00EC2B82" w:rsidRPr="00CB42C1" w:rsidRDefault="00EC2B82" w:rsidP="00D50B6C">
            <w:pPr>
              <w:spacing w:after="120" w:line="276" w:lineRule="auto"/>
              <w:jc w:val="center"/>
              <w:rPr>
                <w:rFonts w:ascii="Verdana" w:hAnsi="Verdana" w:cs="Segoe UI Semilight"/>
                <w:sz w:val="20"/>
                <w:szCs w:val="20"/>
              </w:rPr>
            </w:pPr>
            <w:r w:rsidRPr="00CB42C1">
              <w:rPr>
                <w:rFonts w:ascii="Verdana" w:hAnsi="Verdana" w:cs="Segoe UI Semilight"/>
                <w:sz w:val="20"/>
                <w:szCs w:val="20"/>
              </w:rPr>
              <w:sym w:font="Wingdings" w:char="F0FC"/>
            </w:r>
          </w:p>
        </w:tc>
        <w:tc>
          <w:tcPr>
            <w:tcW w:w="864" w:type="dxa"/>
            <w:tcBorders>
              <w:top w:val="nil"/>
              <w:bottom w:val="dotted" w:sz="4" w:space="0" w:color="auto"/>
            </w:tcBorders>
            <w:vAlign w:val="center"/>
          </w:tcPr>
          <w:p w14:paraId="20710CEF" w14:textId="23AB8F51"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 K–4</w:t>
            </w:r>
          </w:p>
        </w:tc>
        <w:tc>
          <w:tcPr>
            <w:tcW w:w="1296" w:type="dxa"/>
            <w:tcBorders>
              <w:top w:val="nil"/>
              <w:bottom w:val="dotted" w:sz="4" w:space="0" w:color="auto"/>
            </w:tcBorders>
            <w:vAlign w:val="center"/>
          </w:tcPr>
          <w:p w14:paraId="2C09EC84" w14:textId="74C5A799"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 K–4</w:t>
            </w:r>
          </w:p>
        </w:tc>
        <w:tc>
          <w:tcPr>
            <w:tcW w:w="3600" w:type="dxa"/>
            <w:tcBorders>
              <w:top w:val="nil"/>
              <w:bottom w:val="dotted" w:sz="4" w:space="0" w:color="auto"/>
            </w:tcBorders>
            <w:vAlign w:val="center"/>
          </w:tcPr>
          <w:p w14:paraId="13C34691"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04F3C6CA" w14:textId="77777777" w:rsidTr="00BF163C">
        <w:tc>
          <w:tcPr>
            <w:tcW w:w="3456" w:type="dxa"/>
            <w:tcBorders>
              <w:top w:val="dotted" w:sz="4" w:space="0" w:color="auto"/>
              <w:bottom w:val="dotted" w:sz="4" w:space="0" w:color="auto"/>
            </w:tcBorders>
          </w:tcPr>
          <w:p w14:paraId="5698282F" w14:textId="10AD3218"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Physical aggression</w:t>
            </w:r>
            <w:r>
              <w:rPr>
                <w:rStyle w:val="EndnoteReference"/>
                <w:rFonts w:cs="Segoe UI Semilight"/>
                <w:szCs w:val="20"/>
              </w:rPr>
              <w:endnoteReference w:id="39"/>
            </w:r>
          </w:p>
        </w:tc>
        <w:tc>
          <w:tcPr>
            <w:tcW w:w="1296" w:type="dxa"/>
            <w:tcBorders>
              <w:top w:val="dotted" w:sz="4" w:space="0" w:color="auto"/>
              <w:bottom w:val="dotted" w:sz="4" w:space="0" w:color="auto"/>
            </w:tcBorders>
            <w:vAlign w:val="center"/>
          </w:tcPr>
          <w:p w14:paraId="264A7D2D" w14:textId="49599637"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dotted" w:sz="4" w:space="0" w:color="auto"/>
              <w:bottom w:val="dotted" w:sz="4" w:space="0" w:color="auto"/>
            </w:tcBorders>
            <w:vAlign w:val="center"/>
          </w:tcPr>
          <w:p w14:paraId="12B0E29E" w14:textId="6103EAF7"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26F294E0" w14:textId="0C8FAD8E" w:rsidR="00EC2B82" w:rsidRPr="00CB42C1" w:rsidRDefault="00EC2B82" w:rsidP="00D50B6C">
            <w:pPr>
              <w:spacing w:after="120" w:line="276" w:lineRule="auto"/>
              <w:jc w:val="center"/>
              <w:rPr>
                <w:rFonts w:ascii="Verdana" w:hAnsi="Verdana" w:cs="Segoe UI Semilight"/>
                <w:sz w:val="20"/>
                <w:szCs w:val="20"/>
              </w:rPr>
            </w:pPr>
            <w:r w:rsidRPr="00CB42C1">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346282C" w14:textId="7391A5B6"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757FEECE" w14:textId="50EE4642"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47F95856" w14:textId="03424B74"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43BEACB0"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55680BAE" w14:textId="77777777" w:rsidTr="00BF163C">
        <w:tc>
          <w:tcPr>
            <w:tcW w:w="3456" w:type="dxa"/>
            <w:tcBorders>
              <w:top w:val="dotted" w:sz="4" w:space="0" w:color="auto"/>
              <w:bottom w:val="dotted" w:sz="4" w:space="0" w:color="auto"/>
            </w:tcBorders>
          </w:tcPr>
          <w:p w14:paraId="1537D469" w14:textId="57097955"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Tobacco possession or use</w:t>
            </w:r>
            <w:r>
              <w:rPr>
                <w:rStyle w:val="EndnoteReference"/>
                <w:rFonts w:cs="Segoe UI Semilight"/>
                <w:szCs w:val="20"/>
              </w:rPr>
              <w:endnoteReference w:id="40"/>
            </w:r>
          </w:p>
        </w:tc>
        <w:tc>
          <w:tcPr>
            <w:tcW w:w="1296" w:type="dxa"/>
            <w:tcBorders>
              <w:top w:val="dotted" w:sz="4" w:space="0" w:color="auto"/>
              <w:bottom w:val="dotted" w:sz="4" w:space="0" w:color="auto"/>
            </w:tcBorders>
            <w:vAlign w:val="center"/>
          </w:tcPr>
          <w:p w14:paraId="19DC7652" w14:textId="246906D8"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dotted" w:sz="4" w:space="0" w:color="auto"/>
              <w:bottom w:val="dotted" w:sz="4" w:space="0" w:color="auto"/>
            </w:tcBorders>
            <w:vAlign w:val="center"/>
          </w:tcPr>
          <w:p w14:paraId="39B3E7C7" w14:textId="777105D8"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45CF9BC7" w14:textId="215A11BE" w:rsidR="00EC2B82" w:rsidRPr="00CB42C1" w:rsidRDefault="00EC2B82" w:rsidP="00D50B6C">
            <w:pPr>
              <w:spacing w:after="120" w:line="276" w:lineRule="auto"/>
              <w:jc w:val="center"/>
              <w:rPr>
                <w:rFonts w:ascii="Verdana" w:hAnsi="Verdana" w:cs="Segoe UI Semilight"/>
                <w:sz w:val="20"/>
                <w:szCs w:val="20"/>
              </w:rPr>
            </w:pPr>
            <w:r w:rsidRPr="00CB42C1">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4897FD01" w14:textId="4137137A" w:rsidR="00EC2B82" w:rsidRPr="00CB42C1" w:rsidRDefault="00EC2B82" w:rsidP="00D50B6C">
            <w:pPr>
              <w:spacing w:after="120" w:line="276" w:lineRule="auto"/>
              <w:jc w:val="center"/>
              <w:rPr>
                <w:rFonts w:ascii="Verdana" w:hAnsi="Verdana" w:cs="Segoe UI Semilight"/>
                <w:sz w:val="20"/>
                <w:szCs w:val="20"/>
              </w:rPr>
            </w:pPr>
            <w:r w:rsidRPr="00CB42C1">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09D1F5CB" w14:textId="3C8073F4"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56CF2BD6" w14:textId="736DBA6A"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64D18855" w14:textId="5859E829"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Prevention/intervention referral</w:t>
            </w:r>
          </w:p>
        </w:tc>
      </w:tr>
      <w:tr w:rsidR="00EC2B82" w:rsidRPr="0025109A" w14:paraId="561B02C4" w14:textId="77777777" w:rsidTr="00BF163C">
        <w:tc>
          <w:tcPr>
            <w:tcW w:w="3456" w:type="dxa"/>
            <w:tcBorders>
              <w:top w:val="dotted" w:sz="4" w:space="0" w:color="auto"/>
              <w:bottom w:val="dotted" w:sz="4" w:space="0" w:color="auto"/>
            </w:tcBorders>
          </w:tcPr>
          <w:p w14:paraId="194E4011" w14:textId="6317DCD4"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Failure to cooperate</w:t>
            </w:r>
            <w:r>
              <w:rPr>
                <w:rStyle w:val="EndnoteReference"/>
                <w:rFonts w:cs="Segoe UI Semilight"/>
                <w:szCs w:val="20"/>
              </w:rPr>
              <w:endnoteReference w:id="41"/>
            </w:r>
          </w:p>
        </w:tc>
        <w:tc>
          <w:tcPr>
            <w:tcW w:w="1296" w:type="dxa"/>
            <w:tcBorders>
              <w:top w:val="dotted" w:sz="4" w:space="0" w:color="auto"/>
              <w:bottom w:val="dotted" w:sz="4" w:space="0" w:color="auto"/>
            </w:tcBorders>
            <w:vAlign w:val="center"/>
          </w:tcPr>
          <w:p w14:paraId="69FC9AB1" w14:textId="0871BBBB"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dotted" w:sz="4" w:space="0" w:color="auto"/>
              <w:bottom w:val="dotted" w:sz="4" w:space="0" w:color="auto"/>
            </w:tcBorders>
            <w:vAlign w:val="center"/>
          </w:tcPr>
          <w:p w14:paraId="1AC7732B" w14:textId="6D10AB59"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7099EFC4" w14:textId="0CF7714A"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5C90266A" w14:textId="264A57C7"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211EA639" w14:textId="272A3DC3"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2FDB99E5" w14:textId="294E7F65"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16ABC115"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7000BE11" w14:textId="77777777" w:rsidTr="00BF163C">
        <w:tc>
          <w:tcPr>
            <w:tcW w:w="3456" w:type="dxa"/>
            <w:tcBorders>
              <w:top w:val="dotted" w:sz="4" w:space="0" w:color="auto"/>
              <w:bottom w:val="dotted" w:sz="4" w:space="0" w:color="auto"/>
            </w:tcBorders>
          </w:tcPr>
          <w:p w14:paraId="163006B4" w14:textId="317F1A9C"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S</w:t>
            </w:r>
            <w:r>
              <w:rPr>
                <w:rFonts w:ascii="Verdana" w:hAnsi="Verdana" w:cs="Segoe UI Semilight"/>
                <w:sz w:val="20"/>
                <w:szCs w:val="20"/>
              </w:rPr>
              <w:t>exually inappropriate conduct</w:t>
            </w:r>
            <w:r>
              <w:rPr>
                <w:rStyle w:val="EndnoteReference"/>
                <w:rFonts w:cs="Segoe UI Semilight"/>
                <w:szCs w:val="20"/>
              </w:rPr>
              <w:endnoteReference w:id="42"/>
            </w:r>
          </w:p>
        </w:tc>
        <w:tc>
          <w:tcPr>
            <w:tcW w:w="1296" w:type="dxa"/>
            <w:tcBorders>
              <w:top w:val="dotted" w:sz="4" w:space="0" w:color="auto"/>
              <w:bottom w:val="dotted" w:sz="4" w:space="0" w:color="auto"/>
            </w:tcBorders>
            <w:vAlign w:val="center"/>
          </w:tcPr>
          <w:p w14:paraId="4B7DEC66" w14:textId="0158495A"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dotted" w:sz="4" w:space="0" w:color="auto"/>
              <w:bottom w:val="dotted" w:sz="4" w:space="0" w:color="auto"/>
            </w:tcBorders>
            <w:vAlign w:val="center"/>
          </w:tcPr>
          <w:p w14:paraId="38E2EA0F" w14:textId="184A4D22"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743A1597" w14:textId="5F893BCF" w:rsidR="00EC2B82" w:rsidRPr="00262746" w:rsidRDefault="00EC2B82" w:rsidP="00D50B6C">
            <w:pPr>
              <w:spacing w:after="120" w:line="276" w:lineRule="auto"/>
              <w:jc w:val="center"/>
              <w:rPr>
                <w:rFonts w:ascii="Verdana" w:hAnsi="Verdana" w:cs="Segoe UI Semilight"/>
                <w:sz w:val="20"/>
                <w:szCs w:val="20"/>
              </w:rPr>
            </w:pPr>
            <w:r w:rsidRPr="00262746">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735B4161" w14:textId="18B14BED" w:rsidR="00EC2B82" w:rsidRPr="00262746" w:rsidRDefault="00EC2B82" w:rsidP="00D50B6C">
            <w:pPr>
              <w:spacing w:after="120" w:line="276" w:lineRule="auto"/>
              <w:jc w:val="center"/>
              <w:rPr>
                <w:rFonts w:ascii="Verdana" w:hAnsi="Verdana" w:cs="Segoe UI Semilight"/>
                <w:sz w:val="20"/>
                <w:szCs w:val="20"/>
              </w:rPr>
            </w:pPr>
            <w:r w:rsidRPr="00262746">
              <w:rPr>
                <w:rFonts w:ascii="Verdana" w:hAnsi="Verdana" w:cs="Segoe UI Semilight"/>
                <w:sz w:val="20"/>
                <w:szCs w:val="20"/>
              </w:rPr>
              <w:sym w:font="Wingdings" w:char="F0FC"/>
            </w:r>
          </w:p>
        </w:tc>
        <w:tc>
          <w:tcPr>
            <w:tcW w:w="864" w:type="dxa"/>
            <w:tcBorders>
              <w:top w:val="dotted" w:sz="4" w:space="0" w:color="auto"/>
              <w:bottom w:val="dotted" w:sz="4" w:space="0" w:color="auto"/>
            </w:tcBorders>
            <w:vAlign w:val="center"/>
          </w:tcPr>
          <w:p w14:paraId="0EE82C70" w14:textId="4095DEEA"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7BFD8473" w14:textId="14BA6851"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47CF1FB8"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7EFBE715" w14:textId="77777777" w:rsidTr="00BF163C">
        <w:tc>
          <w:tcPr>
            <w:tcW w:w="3456" w:type="dxa"/>
            <w:tcBorders>
              <w:top w:val="dotted" w:sz="4" w:space="0" w:color="auto"/>
              <w:bottom w:val="dotted" w:sz="4" w:space="0" w:color="auto"/>
            </w:tcBorders>
          </w:tcPr>
          <w:p w14:paraId="0AD8B50A" w14:textId="2F082986" w:rsidR="00EC2B82" w:rsidRPr="0025109A" w:rsidRDefault="00EC2B82" w:rsidP="00D50B6C">
            <w:pPr>
              <w:spacing w:after="120" w:line="276" w:lineRule="auto"/>
              <w:rPr>
                <w:rFonts w:ascii="Verdana" w:hAnsi="Verdana" w:cs="Segoe UI Semilight"/>
                <w:sz w:val="20"/>
                <w:szCs w:val="20"/>
              </w:rPr>
            </w:pPr>
            <w:r>
              <w:rPr>
                <w:rFonts w:ascii="Verdana" w:hAnsi="Verdana" w:cs="Segoe UI Semilight"/>
                <w:sz w:val="20"/>
                <w:szCs w:val="20"/>
              </w:rPr>
              <w:t>Disruptive conduct – II</w:t>
            </w:r>
            <w:r>
              <w:rPr>
                <w:rStyle w:val="EndnoteReference"/>
                <w:rFonts w:cs="Segoe UI Semilight"/>
                <w:szCs w:val="20"/>
              </w:rPr>
              <w:endnoteReference w:id="43"/>
            </w:r>
          </w:p>
        </w:tc>
        <w:tc>
          <w:tcPr>
            <w:tcW w:w="1296" w:type="dxa"/>
            <w:tcBorders>
              <w:top w:val="dotted" w:sz="4" w:space="0" w:color="auto"/>
              <w:bottom w:val="dotted" w:sz="4" w:space="0" w:color="auto"/>
            </w:tcBorders>
            <w:vAlign w:val="center"/>
          </w:tcPr>
          <w:p w14:paraId="36A5F1C9" w14:textId="609E57AD"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dotted" w:sz="4" w:space="0" w:color="auto"/>
              <w:bottom w:val="dotted" w:sz="4" w:space="0" w:color="auto"/>
            </w:tcBorders>
            <w:vAlign w:val="center"/>
          </w:tcPr>
          <w:p w14:paraId="17398BDB" w14:textId="32BDF432"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dotted" w:sz="4" w:space="0" w:color="auto"/>
              <w:bottom w:val="dotted" w:sz="4" w:space="0" w:color="auto"/>
            </w:tcBorders>
            <w:vAlign w:val="center"/>
          </w:tcPr>
          <w:p w14:paraId="15B71040" w14:textId="15C3FE2F"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2AF729DD" w14:textId="2DF283FA"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670DC91E" w14:textId="4F56111A"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16E968D4" w14:textId="6FC74847"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13675A32"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3493CC27" w14:textId="77777777" w:rsidTr="00BF163C">
        <w:tc>
          <w:tcPr>
            <w:tcW w:w="3456" w:type="dxa"/>
            <w:tcBorders>
              <w:top w:val="dotted" w:sz="4" w:space="0" w:color="auto"/>
              <w:bottom w:val="single" w:sz="12" w:space="0" w:color="auto"/>
            </w:tcBorders>
          </w:tcPr>
          <w:p w14:paraId="1B7BB59D" w14:textId="7FB3A34F" w:rsidR="00EC2B82" w:rsidRPr="0025109A" w:rsidRDefault="00EC2B82" w:rsidP="003275DD">
            <w:pPr>
              <w:pStyle w:val="EndnoteText"/>
            </w:pPr>
            <w:r w:rsidRPr="003275DD">
              <w:rPr>
                <w:sz w:val="20"/>
              </w:rPr>
              <w:t xml:space="preserve">Other – </w:t>
            </w:r>
            <w:r w:rsidRPr="003275DD">
              <w:rPr>
                <w:rFonts w:cs="Times New Roman"/>
                <w:sz w:val="20"/>
              </w:rPr>
              <w:t>II</w:t>
            </w:r>
            <w:r w:rsidRPr="00420166">
              <w:rPr>
                <w:rStyle w:val="EndnoteReference"/>
                <w:rFonts w:cs="Times New Roman"/>
                <w:szCs w:val="16"/>
              </w:rPr>
              <w:endnoteReference w:id="44"/>
            </w:r>
          </w:p>
        </w:tc>
        <w:tc>
          <w:tcPr>
            <w:tcW w:w="1296" w:type="dxa"/>
            <w:tcBorders>
              <w:top w:val="dotted" w:sz="4" w:space="0" w:color="auto"/>
              <w:bottom w:val="single" w:sz="12" w:space="0" w:color="auto"/>
            </w:tcBorders>
            <w:vAlign w:val="center"/>
          </w:tcPr>
          <w:p w14:paraId="73F2FD75" w14:textId="5FFC2A76"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 xml:space="preserve">Level </w:t>
            </w:r>
            <w:r>
              <w:rPr>
                <w:rFonts w:ascii="Verdana" w:hAnsi="Verdana" w:cs="Segoe UI Semilight"/>
                <w:sz w:val="16"/>
                <w:szCs w:val="16"/>
              </w:rPr>
              <w:t>D</w:t>
            </w:r>
          </w:p>
        </w:tc>
        <w:tc>
          <w:tcPr>
            <w:tcW w:w="1296" w:type="dxa"/>
            <w:tcBorders>
              <w:top w:val="dotted" w:sz="4" w:space="0" w:color="auto"/>
              <w:bottom w:val="single" w:sz="12" w:space="0" w:color="auto"/>
            </w:tcBorders>
            <w:vAlign w:val="center"/>
          </w:tcPr>
          <w:p w14:paraId="4BF25EE6" w14:textId="781DD2E5" w:rsidR="00EC2B82" w:rsidRPr="00AD21E6" w:rsidRDefault="00EC2B82" w:rsidP="00D50B6C">
            <w:pPr>
              <w:spacing w:after="120" w:line="276" w:lineRule="auto"/>
              <w:jc w:val="center"/>
              <w:rPr>
                <w:rFonts w:ascii="Verdana" w:hAnsi="Verdana" w:cs="Segoe UI Semilight"/>
                <w:sz w:val="20"/>
                <w:szCs w:val="20"/>
              </w:rPr>
            </w:pPr>
            <w:r w:rsidRPr="00AD21E6">
              <w:rPr>
                <w:rFonts w:ascii="Verdana" w:hAnsi="Verdana" w:cs="Segoe UI Semilight"/>
                <w:sz w:val="20"/>
                <w:szCs w:val="20"/>
              </w:rPr>
              <w:sym w:font="Wingdings" w:char="F0FC"/>
            </w:r>
          </w:p>
        </w:tc>
        <w:tc>
          <w:tcPr>
            <w:tcW w:w="720" w:type="dxa"/>
            <w:tcBorders>
              <w:top w:val="dotted" w:sz="4" w:space="0" w:color="auto"/>
              <w:bottom w:val="single" w:sz="12" w:space="0" w:color="auto"/>
            </w:tcBorders>
            <w:vAlign w:val="center"/>
          </w:tcPr>
          <w:p w14:paraId="2C2F7EE3" w14:textId="36D9E8D9"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single" w:sz="12" w:space="0" w:color="auto"/>
            </w:tcBorders>
            <w:vAlign w:val="center"/>
          </w:tcPr>
          <w:p w14:paraId="3523A26F" w14:textId="22F13500"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single" w:sz="12" w:space="0" w:color="auto"/>
            </w:tcBorders>
            <w:vAlign w:val="center"/>
          </w:tcPr>
          <w:p w14:paraId="331B393E" w14:textId="6518C135"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single" w:sz="12" w:space="0" w:color="auto"/>
            </w:tcBorders>
            <w:vAlign w:val="center"/>
          </w:tcPr>
          <w:p w14:paraId="366FCCDA" w14:textId="308C9149"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single" w:sz="12" w:space="0" w:color="auto"/>
            </w:tcBorders>
            <w:vAlign w:val="center"/>
          </w:tcPr>
          <w:p w14:paraId="7A128C0D"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7265414C" w14:textId="77777777" w:rsidTr="00BF163C">
        <w:tc>
          <w:tcPr>
            <w:tcW w:w="3456" w:type="dxa"/>
            <w:tcBorders>
              <w:top w:val="single" w:sz="12" w:space="0" w:color="auto"/>
              <w:bottom w:val="nil"/>
            </w:tcBorders>
          </w:tcPr>
          <w:p w14:paraId="45BAF168" w14:textId="160F7DC4" w:rsidR="00EC2B82" w:rsidRPr="0025109A" w:rsidRDefault="00EC2B82">
            <w:pPr>
              <w:rPr>
                <w:rFonts w:ascii="Verdana" w:hAnsi="Verdana" w:cs="Segoe UI Semilight"/>
                <w:b/>
                <w:bCs/>
                <w:i/>
                <w:iCs/>
                <w:sz w:val="24"/>
                <w:szCs w:val="24"/>
              </w:rPr>
            </w:pPr>
            <w:r w:rsidRPr="0025109A">
              <w:rPr>
                <w:rFonts w:ascii="Verdana" w:hAnsi="Verdana" w:cs="Segoe UI Semilight"/>
                <w:b/>
                <w:bCs/>
                <w:i/>
                <w:iCs/>
                <w:sz w:val="24"/>
                <w:szCs w:val="24"/>
              </w:rPr>
              <w:lastRenderedPageBreak/>
              <w:t>Type One</w:t>
            </w:r>
          </w:p>
        </w:tc>
        <w:tc>
          <w:tcPr>
            <w:tcW w:w="1296" w:type="dxa"/>
            <w:tcBorders>
              <w:top w:val="single" w:sz="12" w:space="0" w:color="auto"/>
              <w:bottom w:val="nil"/>
            </w:tcBorders>
            <w:vAlign w:val="center"/>
          </w:tcPr>
          <w:p w14:paraId="2FCC0A69" w14:textId="77777777" w:rsidR="00EC2B82" w:rsidRPr="000D20FA" w:rsidRDefault="00EC2B82" w:rsidP="00B353A2">
            <w:pPr>
              <w:jc w:val="center"/>
              <w:rPr>
                <w:rFonts w:ascii="Verdana" w:hAnsi="Verdana" w:cs="Segoe UI Semilight"/>
                <w:sz w:val="16"/>
                <w:szCs w:val="16"/>
              </w:rPr>
            </w:pPr>
          </w:p>
        </w:tc>
        <w:tc>
          <w:tcPr>
            <w:tcW w:w="1296" w:type="dxa"/>
            <w:tcBorders>
              <w:top w:val="single" w:sz="12" w:space="0" w:color="auto"/>
              <w:bottom w:val="nil"/>
            </w:tcBorders>
            <w:vAlign w:val="center"/>
          </w:tcPr>
          <w:p w14:paraId="41B819A3" w14:textId="77777777" w:rsidR="00EC2B82" w:rsidRPr="0025109A" w:rsidRDefault="00EC2B82" w:rsidP="00E908AF">
            <w:pPr>
              <w:jc w:val="center"/>
              <w:rPr>
                <w:rFonts w:ascii="Verdana" w:hAnsi="Verdana" w:cs="Segoe UI Semilight"/>
                <w:sz w:val="16"/>
                <w:szCs w:val="16"/>
              </w:rPr>
            </w:pPr>
          </w:p>
        </w:tc>
        <w:tc>
          <w:tcPr>
            <w:tcW w:w="720" w:type="dxa"/>
            <w:tcBorders>
              <w:top w:val="single" w:sz="12" w:space="0" w:color="auto"/>
              <w:bottom w:val="nil"/>
            </w:tcBorders>
            <w:vAlign w:val="center"/>
          </w:tcPr>
          <w:p w14:paraId="4EBC6498" w14:textId="77777777" w:rsidR="00EC2B82" w:rsidRPr="0025109A" w:rsidRDefault="00EC2B82" w:rsidP="00E908AF">
            <w:pPr>
              <w:jc w:val="center"/>
              <w:rPr>
                <w:rFonts w:ascii="Verdana" w:hAnsi="Verdana" w:cs="Segoe UI Semilight"/>
                <w:sz w:val="16"/>
                <w:szCs w:val="16"/>
              </w:rPr>
            </w:pPr>
          </w:p>
        </w:tc>
        <w:tc>
          <w:tcPr>
            <w:tcW w:w="864" w:type="dxa"/>
            <w:tcBorders>
              <w:top w:val="single" w:sz="12" w:space="0" w:color="auto"/>
              <w:bottom w:val="nil"/>
            </w:tcBorders>
            <w:vAlign w:val="center"/>
          </w:tcPr>
          <w:p w14:paraId="2C6C0804" w14:textId="77777777" w:rsidR="00EC2B82" w:rsidRPr="0025109A" w:rsidRDefault="00EC2B82" w:rsidP="00E908AF">
            <w:pPr>
              <w:jc w:val="center"/>
              <w:rPr>
                <w:rFonts w:ascii="Verdana" w:hAnsi="Verdana" w:cs="Segoe UI Semilight"/>
                <w:sz w:val="16"/>
                <w:szCs w:val="16"/>
              </w:rPr>
            </w:pPr>
          </w:p>
        </w:tc>
        <w:tc>
          <w:tcPr>
            <w:tcW w:w="864" w:type="dxa"/>
            <w:tcBorders>
              <w:top w:val="single" w:sz="12" w:space="0" w:color="auto"/>
              <w:bottom w:val="nil"/>
            </w:tcBorders>
            <w:vAlign w:val="center"/>
          </w:tcPr>
          <w:p w14:paraId="477C5167" w14:textId="77777777" w:rsidR="00EC2B82" w:rsidRPr="0025109A" w:rsidRDefault="00EC2B82" w:rsidP="00E908AF">
            <w:pPr>
              <w:jc w:val="center"/>
              <w:rPr>
                <w:rFonts w:ascii="Verdana" w:hAnsi="Verdana" w:cs="Segoe UI Semilight"/>
                <w:sz w:val="16"/>
                <w:szCs w:val="16"/>
              </w:rPr>
            </w:pPr>
          </w:p>
        </w:tc>
        <w:tc>
          <w:tcPr>
            <w:tcW w:w="1296" w:type="dxa"/>
            <w:tcBorders>
              <w:top w:val="single" w:sz="12" w:space="0" w:color="auto"/>
              <w:bottom w:val="nil"/>
            </w:tcBorders>
            <w:vAlign w:val="center"/>
          </w:tcPr>
          <w:p w14:paraId="074BAEFE" w14:textId="77777777" w:rsidR="00EC2B82" w:rsidRPr="0025109A" w:rsidRDefault="00EC2B82" w:rsidP="00E908AF">
            <w:pPr>
              <w:jc w:val="center"/>
              <w:rPr>
                <w:rFonts w:ascii="Verdana" w:hAnsi="Verdana" w:cs="Segoe UI Semilight"/>
                <w:sz w:val="16"/>
                <w:szCs w:val="16"/>
              </w:rPr>
            </w:pPr>
          </w:p>
        </w:tc>
        <w:tc>
          <w:tcPr>
            <w:tcW w:w="3600" w:type="dxa"/>
            <w:tcBorders>
              <w:top w:val="single" w:sz="12" w:space="0" w:color="auto"/>
              <w:bottom w:val="nil"/>
            </w:tcBorders>
            <w:vAlign w:val="center"/>
          </w:tcPr>
          <w:p w14:paraId="7D850031" w14:textId="77777777" w:rsidR="00EC2B82" w:rsidRPr="0025109A" w:rsidRDefault="00EC2B82" w:rsidP="00E908AF">
            <w:pPr>
              <w:jc w:val="center"/>
              <w:rPr>
                <w:rFonts w:ascii="Verdana" w:hAnsi="Verdana" w:cs="Segoe UI Semilight"/>
                <w:sz w:val="16"/>
                <w:szCs w:val="16"/>
              </w:rPr>
            </w:pPr>
          </w:p>
        </w:tc>
      </w:tr>
      <w:tr w:rsidR="00EC2B82" w:rsidRPr="0025109A" w14:paraId="0E104F99" w14:textId="77777777" w:rsidTr="00BF163C">
        <w:tc>
          <w:tcPr>
            <w:tcW w:w="3456" w:type="dxa"/>
            <w:tcBorders>
              <w:top w:val="nil"/>
              <w:bottom w:val="dotted" w:sz="4" w:space="0" w:color="auto"/>
            </w:tcBorders>
          </w:tcPr>
          <w:p w14:paraId="70E878B1" w14:textId="2793A870"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Disruptive conduct</w:t>
            </w:r>
            <w:r>
              <w:rPr>
                <w:rFonts w:ascii="Verdana" w:hAnsi="Verdana" w:cs="Segoe UI Semilight"/>
                <w:sz w:val="20"/>
                <w:szCs w:val="20"/>
              </w:rPr>
              <w:t xml:space="preserve"> </w:t>
            </w:r>
            <w:r>
              <w:rPr>
                <w:rFonts w:ascii="Verdana" w:hAnsi="Verdana" w:cs="Segoe UI Semilight"/>
                <w:sz w:val="20"/>
                <w:szCs w:val="20"/>
              </w:rPr>
              <w:softHyphen/>
              <w:t>– I</w:t>
            </w:r>
            <w:r>
              <w:rPr>
                <w:rStyle w:val="EndnoteReference"/>
                <w:rFonts w:cs="Segoe UI Semilight"/>
                <w:szCs w:val="20"/>
              </w:rPr>
              <w:endnoteReference w:id="45"/>
            </w:r>
          </w:p>
        </w:tc>
        <w:tc>
          <w:tcPr>
            <w:tcW w:w="1296" w:type="dxa"/>
            <w:tcBorders>
              <w:top w:val="nil"/>
              <w:bottom w:val="dotted" w:sz="4" w:space="0" w:color="auto"/>
            </w:tcBorders>
            <w:vAlign w:val="center"/>
          </w:tcPr>
          <w:p w14:paraId="216B02C8" w14:textId="02E7E0A9"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nil"/>
              <w:bottom w:val="dotted" w:sz="4" w:space="0" w:color="auto"/>
            </w:tcBorders>
            <w:vAlign w:val="center"/>
          </w:tcPr>
          <w:p w14:paraId="21567C76" w14:textId="73487369"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720" w:type="dxa"/>
            <w:tcBorders>
              <w:top w:val="nil"/>
              <w:bottom w:val="dotted" w:sz="4" w:space="0" w:color="auto"/>
            </w:tcBorders>
            <w:vAlign w:val="center"/>
          </w:tcPr>
          <w:p w14:paraId="0DF1917D" w14:textId="02A6C843"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nil"/>
              <w:bottom w:val="dotted" w:sz="4" w:space="0" w:color="auto"/>
            </w:tcBorders>
            <w:vAlign w:val="center"/>
          </w:tcPr>
          <w:p w14:paraId="07671AFE" w14:textId="429063A9"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nil"/>
              <w:bottom w:val="dotted" w:sz="4" w:space="0" w:color="auto"/>
            </w:tcBorders>
            <w:vAlign w:val="center"/>
          </w:tcPr>
          <w:p w14:paraId="198326B1" w14:textId="594E038A"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nil"/>
              <w:bottom w:val="dotted" w:sz="4" w:space="0" w:color="auto"/>
            </w:tcBorders>
            <w:vAlign w:val="center"/>
          </w:tcPr>
          <w:p w14:paraId="5770126A" w14:textId="677F1E7C"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nil"/>
              <w:bottom w:val="dotted" w:sz="4" w:space="0" w:color="auto"/>
            </w:tcBorders>
            <w:vAlign w:val="center"/>
          </w:tcPr>
          <w:p w14:paraId="017F5C9B"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4F1C674A" w14:textId="77777777" w:rsidTr="00BF163C">
        <w:tc>
          <w:tcPr>
            <w:tcW w:w="3456" w:type="dxa"/>
            <w:tcBorders>
              <w:top w:val="dotted" w:sz="4" w:space="0" w:color="auto"/>
              <w:bottom w:val="dotted" w:sz="4" w:space="0" w:color="auto"/>
            </w:tcBorders>
          </w:tcPr>
          <w:p w14:paraId="273F9519" w14:textId="696130CE"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Dress code</w:t>
            </w:r>
            <w:r>
              <w:rPr>
                <w:rStyle w:val="EndnoteReference"/>
                <w:rFonts w:cs="Segoe UI Semilight"/>
                <w:szCs w:val="20"/>
              </w:rPr>
              <w:endnoteReference w:id="46"/>
            </w:r>
          </w:p>
        </w:tc>
        <w:tc>
          <w:tcPr>
            <w:tcW w:w="1296" w:type="dxa"/>
            <w:tcBorders>
              <w:top w:val="dotted" w:sz="4" w:space="0" w:color="auto"/>
              <w:bottom w:val="dotted" w:sz="4" w:space="0" w:color="auto"/>
            </w:tcBorders>
            <w:vAlign w:val="center"/>
          </w:tcPr>
          <w:p w14:paraId="4D479654" w14:textId="360382AB"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4E5F01D6" w14:textId="614395D4"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2DD6491B" w14:textId="482B909F"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10BF6CE6" w14:textId="658A6DFE"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1AC17019" w14:textId="33838847"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09F63FEF" w14:textId="22D5788E"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46FF66ED"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072F6BC0" w14:textId="77777777" w:rsidTr="00BF163C">
        <w:tc>
          <w:tcPr>
            <w:tcW w:w="3456" w:type="dxa"/>
            <w:tcBorders>
              <w:top w:val="dotted" w:sz="4" w:space="0" w:color="auto"/>
              <w:bottom w:val="dotted" w:sz="4" w:space="0" w:color="auto"/>
            </w:tcBorders>
          </w:tcPr>
          <w:p w14:paraId="024AD4F3" w14:textId="59CBBBC4"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Physical contact</w:t>
            </w:r>
            <w:r>
              <w:rPr>
                <w:rStyle w:val="EndnoteReference"/>
                <w:rFonts w:cs="Segoe UI Semilight"/>
                <w:szCs w:val="20"/>
              </w:rPr>
              <w:endnoteReference w:id="47"/>
            </w:r>
          </w:p>
        </w:tc>
        <w:tc>
          <w:tcPr>
            <w:tcW w:w="1296" w:type="dxa"/>
            <w:tcBorders>
              <w:top w:val="dotted" w:sz="4" w:space="0" w:color="auto"/>
              <w:bottom w:val="dotted" w:sz="4" w:space="0" w:color="auto"/>
            </w:tcBorders>
            <w:vAlign w:val="center"/>
          </w:tcPr>
          <w:p w14:paraId="0BD830BE" w14:textId="5D132911"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7FD2A0EB" w14:textId="35CA137E"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4E745B89" w14:textId="418250B6"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60E8715B" w14:textId="413B61A0"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5051A10D" w14:textId="3AD94120"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669C4643" w14:textId="273AA50B"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144070AD"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375A1FA9" w14:textId="77777777" w:rsidTr="00BF163C">
        <w:tc>
          <w:tcPr>
            <w:tcW w:w="3456" w:type="dxa"/>
            <w:tcBorders>
              <w:top w:val="dotted" w:sz="4" w:space="0" w:color="auto"/>
              <w:bottom w:val="dotted" w:sz="4" w:space="0" w:color="auto"/>
            </w:tcBorders>
          </w:tcPr>
          <w:p w14:paraId="05DD8B94" w14:textId="10A22782"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Defiance</w:t>
            </w:r>
            <w:r>
              <w:rPr>
                <w:rStyle w:val="EndnoteReference"/>
                <w:rFonts w:cs="Segoe UI Semilight"/>
                <w:szCs w:val="20"/>
              </w:rPr>
              <w:endnoteReference w:id="48"/>
            </w:r>
          </w:p>
        </w:tc>
        <w:tc>
          <w:tcPr>
            <w:tcW w:w="1296" w:type="dxa"/>
            <w:tcBorders>
              <w:top w:val="dotted" w:sz="4" w:space="0" w:color="auto"/>
              <w:bottom w:val="dotted" w:sz="4" w:space="0" w:color="auto"/>
            </w:tcBorders>
            <w:vAlign w:val="center"/>
          </w:tcPr>
          <w:p w14:paraId="1F4052AF" w14:textId="4FEF8C35"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01B0B39B" w14:textId="2A9C2D28"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72E70557" w14:textId="1193FE6B"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23C4D81D" w14:textId="511CC52A"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51A3A487" w14:textId="2FB5F853"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0DEBC0A3" w14:textId="4E868826"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2849EEC7"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60F741E1" w14:textId="77777777" w:rsidTr="00BF163C">
        <w:tc>
          <w:tcPr>
            <w:tcW w:w="3456" w:type="dxa"/>
            <w:tcBorders>
              <w:top w:val="dotted" w:sz="4" w:space="0" w:color="auto"/>
              <w:bottom w:val="dotted" w:sz="4" w:space="0" w:color="auto"/>
            </w:tcBorders>
          </w:tcPr>
          <w:p w14:paraId="7D7F7888" w14:textId="109C1616"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Disrespect</w:t>
            </w:r>
            <w:r>
              <w:rPr>
                <w:rStyle w:val="EndnoteReference"/>
                <w:rFonts w:cs="Segoe UI Semilight"/>
                <w:szCs w:val="20"/>
              </w:rPr>
              <w:endnoteReference w:id="49"/>
            </w:r>
          </w:p>
        </w:tc>
        <w:tc>
          <w:tcPr>
            <w:tcW w:w="1296" w:type="dxa"/>
            <w:tcBorders>
              <w:top w:val="dotted" w:sz="4" w:space="0" w:color="auto"/>
              <w:bottom w:val="dotted" w:sz="4" w:space="0" w:color="auto"/>
            </w:tcBorders>
            <w:vAlign w:val="center"/>
          </w:tcPr>
          <w:p w14:paraId="1E3FE1DC" w14:textId="2E244B9E"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13C8707E" w14:textId="4E0A9563"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0B9054C3" w14:textId="2FF415F2"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3B107F27" w14:textId="402B7329"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02EACB7F" w14:textId="025D264C"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048D6FD4" w14:textId="5C23976A" w:rsidR="00EC2B82" w:rsidRPr="0025109A" w:rsidRDefault="00EC2B82" w:rsidP="00D50B6C">
            <w:pPr>
              <w:spacing w:after="120" w:line="276" w:lineRule="auto"/>
              <w:jc w:val="center"/>
              <w:rPr>
                <w:rFonts w:ascii="Verdana" w:hAnsi="Verdana" w:cs="Segoe UI Semilight"/>
                <w:sz w:val="16"/>
                <w:szCs w:val="16"/>
              </w:rPr>
            </w:pPr>
            <w:r w:rsidRPr="00AD75A6">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4107BD55"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3DCA1760" w14:textId="77777777" w:rsidTr="00BF163C">
        <w:tc>
          <w:tcPr>
            <w:tcW w:w="3456" w:type="dxa"/>
            <w:tcBorders>
              <w:top w:val="dotted" w:sz="4" w:space="0" w:color="auto"/>
              <w:bottom w:val="dotted" w:sz="4" w:space="0" w:color="auto"/>
            </w:tcBorders>
          </w:tcPr>
          <w:p w14:paraId="73BE6ADB" w14:textId="40BCA971"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Academic dishonesty/plagiarism</w:t>
            </w:r>
            <w:r>
              <w:rPr>
                <w:rStyle w:val="EndnoteReference"/>
                <w:rFonts w:cs="Segoe UI Semilight"/>
                <w:szCs w:val="20"/>
              </w:rPr>
              <w:endnoteReference w:id="50"/>
            </w:r>
          </w:p>
        </w:tc>
        <w:tc>
          <w:tcPr>
            <w:tcW w:w="1296" w:type="dxa"/>
            <w:tcBorders>
              <w:top w:val="dotted" w:sz="4" w:space="0" w:color="auto"/>
              <w:bottom w:val="dotted" w:sz="4" w:space="0" w:color="auto"/>
            </w:tcBorders>
            <w:vAlign w:val="center"/>
          </w:tcPr>
          <w:p w14:paraId="6B163F87" w14:textId="184EB72B"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4F901481" w14:textId="7BE9AEAD"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656F7972" w14:textId="619E180D"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0092E96D" w14:textId="693B5C1C"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1F11BA5D" w14:textId="0F8DB141"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06274B5F" w14:textId="2A5FCDB5"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2C83225D"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26CBE66D" w14:textId="77777777" w:rsidTr="00BF163C">
        <w:tc>
          <w:tcPr>
            <w:tcW w:w="3456" w:type="dxa"/>
            <w:tcBorders>
              <w:top w:val="dotted" w:sz="4" w:space="0" w:color="auto"/>
              <w:bottom w:val="dotted" w:sz="4" w:space="0" w:color="auto"/>
            </w:tcBorders>
          </w:tcPr>
          <w:p w14:paraId="25B21672" w14:textId="2AC5654D" w:rsidR="00EC2B82" w:rsidRPr="0025109A" w:rsidRDefault="00EC2B82" w:rsidP="00D50B6C">
            <w:pPr>
              <w:spacing w:after="120" w:line="276" w:lineRule="auto"/>
              <w:rPr>
                <w:rFonts w:ascii="Verdana" w:hAnsi="Verdana" w:cs="Segoe UI Semilight"/>
                <w:sz w:val="20"/>
                <w:szCs w:val="20"/>
              </w:rPr>
            </w:pPr>
            <w:r>
              <w:rPr>
                <w:rFonts w:ascii="Verdana" w:hAnsi="Verdana" w:cs="Segoe UI Semilight"/>
                <w:sz w:val="20"/>
                <w:szCs w:val="20"/>
              </w:rPr>
              <w:t>Property misuse</w:t>
            </w:r>
            <w:r>
              <w:rPr>
                <w:rStyle w:val="EndnoteReference"/>
                <w:rFonts w:cs="Segoe UI Semilight"/>
                <w:szCs w:val="20"/>
              </w:rPr>
              <w:endnoteReference w:id="51"/>
            </w:r>
          </w:p>
        </w:tc>
        <w:tc>
          <w:tcPr>
            <w:tcW w:w="1296" w:type="dxa"/>
            <w:tcBorders>
              <w:top w:val="dotted" w:sz="4" w:space="0" w:color="auto"/>
              <w:bottom w:val="dotted" w:sz="4" w:space="0" w:color="auto"/>
            </w:tcBorders>
            <w:vAlign w:val="center"/>
          </w:tcPr>
          <w:p w14:paraId="3C13DDF8" w14:textId="29F35980" w:rsidR="00EC2B82" w:rsidRPr="000D20FA" w:rsidRDefault="00EC2B82"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613742AA" w14:textId="133BD7FE"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20057037" w14:textId="39681936"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0BAEBC82" w14:textId="21320DDE"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4982887D" w14:textId="0895FAF8"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2FBB0545" w14:textId="5E7E5B70" w:rsidR="00EC2B82" w:rsidRPr="0025109A" w:rsidRDefault="00EC2B82"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34C5E416" w14:textId="77777777" w:rsidR="00EC2B82" w:rsidRPr="0025109A" w:rsidRDefault="00EC2B82" w:rsidP="00D50B6C">
            <w:pPr>
              <w:spacing w:after="120" w:line="276" w:lineRule="auto"/>
              <w:jc w:val="center"/>
              <w:rPr>
                <w:rFonts w:ascii="Verdana" w:hAnsi="Verdana" w:cs="Segoe UI Semilight"/>
                <w:sz w:val="16"/>
                <w:szCs w:val="16"/>
              </w:rPr>
            </w:pPr>
          </w:p>
        </w:tc>
      </w:tr>
      <w:tr w:rsidR="00EC2B82" w:rsidRPr="0025109A" w14:paraId="0AA89EC4" w14:textId="77777777" w:rsidTr="00BF163C">
        <w:tc>
          <w:tcPr>
            <w:tcW w:w="3456" w:type="dxa"/>
            <w:tcBorders>
              <w:top w:val="dotted" w:sz="4" w:space="0" w:color="auto"/>
              <w:bottom w:val="dotted" w:sz="4" w:space="0" w:color="auto"/>
            </w:tcBorders>
          </w:tcPr>
          <w:p w14:paraId="1BA4CC69" w14:textId="32C8F6AE" w:rsidR="00EC2B82" w:rsidRDefault="00EC2B82" w:rsidP="00D50B6C">
            <w:pPr>
              <w:spacing w:after="120" w:line="276" w:lineRule="auto"/>
              <w:rPr>
                <w:rFonts w:ascii="Verdana" w:hAnsi="Verdana" w:cs="Segoe UI Semilight"/>
                <w:sz w:val="20"/>
                <w:szCs w:val="20"/>
              </w:rPr>
            </w:pPr>
            <w:r>
              <w:rPr>
                <w:rFonts w:ascii="Verdana" w:hAnsi="Verdana" w:cs="Segoe UI Semilight"/>
                <w:sz w:val="20"/>
                <w:szCs w:val="20"/>
              </w:rPr>
              <w:t>Inappropriate language</w:t>
            </w:r>
            <w:r>
              <w:rPr>
                <w:rStyle w:val="EndnoteReference"/>
                <w:rFonts w:cs="Segoe UI Semilight"/>
                <w:szCs w:val="20"/>
              </w:rPr>
              <w:endnoteReference w:id="52"/>
            </w:r>
          </w:p>
        </w:tc>
        <w:tc>
          <w:tcPr>
            <w:tcW w:w="1296" w:type="dxa"/>
            <w:tcBorders>
              <w:top w:val="dotted" w:sz="4" w:space="0" w:color="auto"/>
              <w:bottom w:val="dotted" w:sz="4" w:space="0" w:color="auto"/>
            </w:tcBorders>
            <w:vAlign w:val="center"/>
          </w:tcPr>
          <w:p w14:paraId="1C429ECE" w14:textId="6273DAC0" w:rsidR="00EC2B82" w:rsidRPr="000D20FA" w:rsidRDefault="00EC2B82" w:rsidP="00D50B6C">
            <w:pPr>
              <w:spacing w:after="120" w:line="276" w:lineRule="auto"/>
              <w:jc w:val="center"/>
              <w:rPr>
                <w:rFonts w:ascii="Verdana" w:hAnsi="Verdana" w:cs="Segoe UI Semilight"/>
                <w:sz w:val="16"/>
                <w:szCs w:val="16"/>
              </w:rPr>
            </w:pPr>
            <w:r w:rsidRPr="008036BB">
              <w:rPr>
                <w:rFonts w:ascii="Verdana" w:hAnsi="Verdana" w:cs="Segoe UI Semilight"/>
                <w:sz w:val="16"/>
                <w:szCs w:val="16"/>
              </w:rPr>
              <w:t>Levels A–C</w:t>
            </w:r>
          </w:p>
        </w:tc>
        <w:tc>
          <w:tcPr>
            <w:tcW w:w="1296" w:type="dxa"/>
            <w:tcBorders>
              <w:top w:val="dotted" w:sz="4" w:space="0" w:color="auto"/>
              <w:bottom w:val="dotted" w:sz="4" w:space="0" w:color="auto"/>
            </w:tcBorders>
            <w:vAlign w:val="center"/>
          </w:tcPr>
          <w:p w14:paraId="42D30354" w14:textId="5FF94CEF"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720" w:type="dxa"/>
            <w:tcBorders>
              <w:top w:val="dotted" w:sz="4" w:space="0" w:color="auto"/>
              <w:bottom w:val="dotted" w:sz="4" w:space="0" w:color="auto"/>
            </w:tcBorders>
            <w:vAlign w:val="center"/>
          </w:tcPr>
          <w:p w14:paraId="343373B9" w14:textId="548EEF66"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34EB619D" w14:textId="5D931EB0"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864" w:type="dxa"/>
            <w:tcBorders>
              <w:top w:val="dotted" w:sz="4" w:space="0" w:color="auto"/>
              <w:bottom w:val="dotted" w:sz="4" w:space="0" w:color="auto"/>
            </w:tcBorders>
            <w:vAlign w:val="center"/>
          </w:tcPr>
          <w:p w14:paraId="450CA2F8" w14:textId="4682792F"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1296" w:type="dxa"/>
            <w:tcBorders>
              <w:top w:val="dotted" w:sz="4" w:space="0" w:color="auto"/>
              <w:bottom w:val="dotted" w:sz="4" w:space="0" w:color="auto"/>
            </w:tcBorders>
            <w:vAlign w:val="center"/>
          </w:tcPr>
          <w:p w14:paraId="10D4E342" w14:textId="5BCE3A44" w:rsidR="00EC2B82" w:rsidRPr="0025109A" w:rsidRDefault="00EC2B82" w:rsidP="00D50B6C">
            <w:pPr>
              <w:spacing w:after="120" w:line="276" w:lineRule="auto"/>
              <w:jc w:val="center"/>
              <w:rPr>
                <w:rFonts w:ascii="Verdana" w:hAnsi="Verdana" w:cs="Segoe UI Semilight"/>
                <w:sz w:val="16"/>
                <w:szCs w:val="16"/>
              </w:rPr>
            </w:pPr>
            <w:r>
              <w:rPr>
                <w:rFonts w:ascii="Verdana" w:hAnsi="Verdana" w:cs="Segoe UI Semilight"/>
                <w:sz w:val="16"/>
                <w:szCs w:val="16"/>
              </w:rPr>
              <w:t>No</w:t>
            </w:r>
          </w:p>
        </w:tc>
        <w:tc>
          <w:tcPr>
            <w:tcW w:w="3600" w:type="dxa"/>
            <w:tcBorders>
              <w:top w:val="dotted" w:sz="4" w:space="0" w:color="auto"/>
              <w:bottom w:val="dotted" w:sz="4" w:space="0" w:color="auto"/>
            </w:tcBorders>
            <w:vAlign w:val="center"/>
          </w:tcPr>
          <w:p w14:paraId="521F0250" w14:textId="77777777" w:rsidR="00EC2B82" w:rsidRPr="0025109A" w:rsidRDefault="00EC2B82" w:rsidP="00D50B6C">
            <w:pPr>
              <w:spacing w:after="120" w:line="276" w:lineRule="auto"/>
              <w:jc w:val="center"/>
              <w:rPr>
                <w:rFonts w:ascii="Verdana" w:hAnsi="Verdana" w:cs="Segoe UI Semilight"/>
                <w:sz w:val="16"/>
                <w:szCs w:val="16"/>
              </w:rPr>
            </w:pPr>
          </w:p>
        </w:tc>
      </w:tr>
      <w:tr w:rsidR="00824D19" w:rsidRPr="0025109A" w14:paraId="5506343B" w14:textId="77777777" w:rsidTr="00BF163C">
        <w:tc>
          <w:tcPr>
            <w:tcW w:w="3456" w:type="dxa"/>
            <w:tcBorders>
              <w:top w:val="dotted" w:sz="4" w:space="0" w:color="auto"/>
            </w:tcBorders>
          </w:tcPr>
          <w:p w14:paraId="27E706EC" w14:textId="2D02253E" w:rsidR="00EC2B82" w:rsidRPr="0025109A" w:rsidRDefault="00EC2B82" w:rsidP="00D50B6C">
            <w:pPr>
              <w:spacing w:after="120" w:line="276" w:lineRule="auto"/>
              <w:rPr>
                <w:rFonts w:ascii="Verdana" w:hAnsi="Verdana" w:cs="Segoe UI Semilight"/>
                <w:sz w:val="20"/>
                <w:szCs w:val="20"/>
              </w:rPr>
            </w:pPr>
            <w:r w:rsidRPr="0025109A">
              <w:rPr>
                <w:rFonts w:ascii="Verdana" w:hAnsi="Verdana" w:cs="Segoe UI Semilight"/>
                <w:sz w:val="20"/>
                <w:szCs w:val="20"/>
              </w:rPr>
              <w:t xml:space="preserve">Other – </w:t>
            </w:r>
            <w:r w:rsidRPr="0025109A">
              <w:rPr>
                <w:rFonts w:ascii="Verdana" w:hAnsi="Verdana" w:cs="Times New Roman"/>
                <w:sz w:val="20"/>
                <w:szCs w:val="20"/>
              </w:rPr>
              <w:t>I</w:t>
            </w:r>
            <w:r w:rsidRPr="00420166">
              <w:rPr>
                <w:rStyle w:val="EndnoteReference"/>
                <w:rFonts w:cs="Times New Roman"/>
                <w:szCs w:val="16"/>
              </w:rPr>
              <w:endnoteReference w:id="53"/>
            </w:r>
          </w:p>
        </w:tc>
        <w:tc>
          <w:tcPr>
            <w:tcW w:w="1296" w:type="dxa"/>
            <w:tcBorders>
              <w:top w:val="dotted" w:sz="4" w:space="0" w:color="auto"/>
            </w:tcBorders>
            <w:vAlign w:val="center"/>
          </w:tcPr>
          <w:p w14:paraId="650148CD" w14:textId="4F577C54" w:rsidR="00824D19" w:rsidRPr="000D20FA" w:rsidRDefault="000D20FA" w:rsidP="00D50B6C">
            <w:pPr>
              <w:spacing w:after="120" w:line="276" w:lineRule="auto"/>
              <w:jc w:val="center"/>
              <w:rPr>
                <w:rFonts w:ascii="Verdana" w:hAnsi="Verdana" w:cs="Segoe UI Semilight"/>
                <w:sz w:val="16"/>
                <w:szCs w:val="16"/>
              </w:rPr>
            </w:pPr>
            <w:r w:rsidRPr="000D20FA">
              <w:rPr>
                <w:rFonts w:ascii="Verdana" w:hAnsi="Verdana" w:cs="Segoe UI Semilight"/>
                <w:sz w:val="16"/>
                <w:szCs w:val="16"/>
              </w:rPr>
              <w:t>Levels A–C</w:t>
            </w:r>
          </w:p>
        </w:tc>
        <w:tc>
          <w:tcPr>
            <w:tcW w:w="1296" w:type="dxa"/>
            <w:tcBorders>
              <w:top w:val="dotted" w:sz="4" w:space="0" w:color="auto"/>
            </w:tcBorders>
            <w:vAlign w:val="center"/>
          </w:tcPr>
          <w:p w14:paraId="7D52BBBB" w14:textId="1F3EF00E" w:rsidR="00824D19" w:rsidRPr="0025109A" w:rsidRDefault="00894AAA"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720" w:type="dxa"/>
            <w:tcBorders>
              <w:top w:val="dotted" w:sz="4" w:space="0" w:color="auto"/>
            </w:tcBorders>
            <w:vAlign w:val="center"/>
          </w:tcPr>
          <w:p w14:paraId="69F8FE46" w14:textId="334D9C00" w:rsidR="00824D19" w:rsidRPr="0025109A" w:rsidRDefault="00894AAA"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tcBorders>
            <w:vAlign w:val="center"/>
          </w:tcPr>
          <w:p w14:paraId="103FC1B0" w14:textId="4D96ECE2" w:rsidR="00824D19" w:rsidRPr="0025109A" w:rsidRDefault="00894AAA"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864" w:type="dxa"/>
            <w:tcBorders>
              <w:top w:val="dotted" w:sz="4" w:space="0" w:color="auto"/>
            </w:tcBorders>
            <w:vAlign w:val="center"/>
          </w:tcPr>
          <w:p w14:paraId="78F632E2" w14:textId="5636F469" w:rsidR="00824D19" w:rsidRPr="0025109A" w:rsidRDefault="00894AAA"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1296" w:type="dxa"/>
            <w:tcBorders>
              <w:top w:val="dotted" w:sz="4" w:space="0" w:color="auto"/>
            </w:tcBorders>
            <w:vAlign w:val="center"/>
          </w:tcPr>
          <w:p w14:paraId="180AFFEA" w14:textId="04C52A26" w:rsidR="00824D19" w:rsidRPr="0025109A" w:rsidRDefault="00894AAA" w:rsidP="00D50B6C">
            <w:pPr>
              <w:spacing w:after="120" w:line="276" w:lineRule="auto"/>
              <w:jc w:val="center"/>
              <w:rPr>
                <w:rFonts w:ascii="Verdana" w:hAnsi="Verdana" w:cs="Segoe UI Semilight"/>
                <w:sz w:val="16"/>
                <w:szCs w:val="16"/>
              </w:rPr>
            </w:pPr>
            <w:r w:rsidRPr="0025109A">
              <w:rPr>
                <w:rFonts w:ascii="Verdana" w:hAnsi="Verdana" w:cs="Segoe UI Semilight"/>
                <w:sz w:val="16"/>
                <w:szCs w:val="16"/>
              </w:rPr>
              <w:t>No</w:t>
            </w:r>
          </w:p>
        </w:tc>
        <w:tc>
          <w:tcPr>
            <w:tcW w:w="3600" w:type="dxa"/>
            <w:tcBorders>
              <w:top w:val="dotted" w:sz="4" w:space="0" w:color="auto"/>
            </w:tcBorders>
            <w:vAlign w:val="center"/>
          </w:tcPr>
          <w:p w14:paraId="79087890" w14:textId="77777777" w:rsidR="00824D19" w:rsidRPr="0025109A" w:rsidRDefault="00824D19" w:rsidP="00D50B6C">
            <w:pPr>
              <w:spacing w:after="120" w:line="276" w:lineRule="auto"/>
              <w:jc w:val="center"/>
              <w:rPr>
                <w:rFonts w:ascii="Verdana" w:hAnsi="Verdana" w:cs="Segoe UI Semilight"/>
                <w:sz w:val="16"/>
                <w:szCs w:val="16"/>
              </w:rPr>
            </w:pPr>
          </w:p>
        </w:tc>
      </w:tr>
    </w:tbl>
    <w:p w14:paraId="6CC1C618" w14:textId="77777777" w:rsidR="00A2527C" w:rsidRPr="0025109A" w:rsidRDefault="00A2527C">
      <w:pPr>
        <w:rPr>
          <w:rFonts w:ascii="Verdana" w:hAnsi="Verdana"/>
        </w:rPr>
      </w:pPr>
    </w:p>
    <w:sectPr w:rsidR="00A2527C" w:rsidRPr="0025109A" w:rsidSect="00A2527C">
      <w:headerReference w:type="even" r:id="rId8"/>
      <w:headerReference w:type="default" r:id="rId9"/>
      <w:footerReference w:type="even" r:id="rId10"/>
      <w:footerReference w:type="default" r:id="rId11"/>
      <w:headerReference w:type="first" r:id="rId12"/>
      <w:footerReference w:type="first" r:id="rId13"/>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D81AC" w14:textId="77777777" w:rsidR="00094D43" w:rsidRDefault="00094D43" w:rsidP="00351100">
      <w:pPr>
        <w:spacing w:after="0" w:line="240" w:lineRule="auto"/>
      </w:pPr>
      <w:r>
        <w:separator/>
      </w:r>
    </w:p>
  </w:endnote>
  <w:endnote w:type="continuationSeparator" w:id="0">
    <w:p w14:paraId="6126BDA2" w14:textId="77777777" w:rsidR="00094D43" w:rsidRDefault="00094D43" w:rsidP="00351100">
      <w:pPr>
        <w:spacing w:after="0" w:line="240" w:lineRule="auto"/>
      </w:pPr>
      <w:r>
        <w:continuationSeparator/>
      </w:r>
    </w:p>
  </w:endnote>
  <w:endnote w:id="1">
    <w:p w14:paraId="42A9AF49" w14:textId="283E87AA" w:rsidR="00EC2B82" w:rsidRDefault="00EC2B82">
      <w:pPr>
        <w:pStyle w:val="EndnoteText"/>
      </w:pPr>
      <w:r>
        <w:rPr>
          <w:rStyle w:val="EndnoteReference"/>
        </w:rPr>
        <w:endnoteRef/>
      </w:r>
      <w:r>
        <w:t xml:space="preserve"> Note, this matrix represents a summary of student discipline procedures under WSSDA policy 3241P.</w:t>
      </w:r>
    </w:p>
  </w:endnote>
  <w:endnote w:id="2">
    <w:p w14:paraId="2FD9BA9E" w14:textId="35CAA7F0" w:rsidR="00EC2B82" w:rsidRPr="001C1F9C" w:rsidRDefault="00EC2B82">
      <w:pPr>
        <w:pStyle w:val="EndnoteText"/>
      </w:pPr>
      <w:r>
        <w:rPr>
          <w:rStyle w:val="EndnoteReference"/>
        </w:rPr>
        <w:endnoteRef/>
      </w:r>
      <w:r>
        <w:t xml:space="preserve"> </w:t>
      </w:r>
      <w:r w:rsidRPr="00B43858">
        <w:t xml:space="preserve">"Behavioral violation" </w:t>
      </w:r>
      <w:r>
        <w:t>refers to</w:t>
      </w:r>
      <w:r w:rsidRPr="00B43858">
        <w:t xml:space="preserve"> a student's behavior that violates </w:t>
      </w:r>
      <w:r w:rsidRPr="00234562">
        <w:rPr>
          <w:i/>
          <w:iCs/>
        </w:rPr>
        <w:t>Example District's</w:t>
      </w:r>
      <w:r w:rsidRPr="00B43858">
        <w:t xml:space="preserve"> discipline policy</w:t>
      </w:r>
      <w:r>
        <w:t xml:space="preserve">. In accordance with </w:t>
      </w:r>
      <w:r w:rsidRPr="00B43858">
        <w:t xml:space="preserve">WAC </w:t>
      </w:r>
      <w:hyperlink r:id="rId1" w:history="1">
        <w:r w:rsidRPr="00B43858">
          <w:rPr>
            <w:rStyle w:val="Hyperlink"/>
          </w:rPr>
          <w:t>392-400-110</w:t>
        </w:r>
      </w:hyperlink>
      <w:r>
        <w:t xml:space="preserve">(1)(a), </w:t>
      </w:r>
      <w:r w:rsidRPr="00234562">
        <w:rPr>
          <w:i/>
          <w:iCs/>
        </w:rPr>
        <w:t>Example District’s</w:t>
      </w:r>
      <w:r>
        <w:t xml:space="preserve"> policies and procedures must clearly state the types of behaviors for which discipline—including other forms of discipline, classroom exclusion, suspension, and expulsion—may be administered. </w:t>
      </w:r>
      <w:r w:rsidRPr="001C1F9C">
        <w:t xml:space="preserve">Note: The information and definitions for behavioral violations in this matrix that indicate long-term suspension or expulsion </w:t>
      </w:r>
      <w:r w:rsidRPr="001C1F9C">
        <w:rPr>
          <w:u w:val="single"/>
        </w:rPr>
        <w:t>may be an option</w:t>
      </w:r>
      <w:r w:rsidRPr="001C1F9C">
        <w:t xml:space="preserve"> correspond with provisions under RCW </w:t>
      </w:r>
      <w:hyperlink r:id="rId2" w:history="1">
        <w:r w:rsidRPr="001C1F9C">
          <w:rPr>
            <w:rStyle w:val="Hyperlink"/>
          </w:rPr>
          <w:t>28A.600.015</w:t>
        </w:r>
      </w:hyperlink>
      <w:r w:rsidRPr="001C1F9C">
        <w:t xml:space="preserve">(6) as well as grade-level conditions and limitations under WAC </w:t>
      </w:r>
      <w:hyperlink r:id="rId3" w:history="1">
        <w:r w:rsidRPr="001C1F9C">
          <w:rPr>
            <w:rStyle w:val="Hyperlink"/>
          </w:rPr>
          <w:t>392-400-440</w:t>
        </w:r>
      </w:hyperlink>
      <w:r w:rsidRPr="001C1F9C">
        <w:t xml:space="preserve">(4) and WAC </w:t>
      </w:r>
      <w:hyperlink r:id="rId4" w:history="1">
        <w:r w:rsidRPr="001C1F9C">
          <w:rPr>
            <w:rStyle w:val="Hyperlink"/>
          </w:rPr>
          <w:t>392-400-445</w:t>
        </w:r>
      </w:hyperlink>
      <w:r w:rsidRPr="001C1F9C">
        <w:t xml:space="preserve">(4) regarding the types of behavioral violations for which a district may consider administering long-term suspension or expulsion. The information and definitions for behavioral violations in this matrix that indicate long-term suspension or expulsion </w:t>
      </w:r>
      <w:r w:rsidRPr="001C1F9C">
        <w:rPr>
          <w:u w:val="single"/>
        </w:rPr>
        <w:t>is not an option</w:t>
      </w:r>
      <w:r w:rsidRPr="001C1F9C">
        <w:t xml:space="preserve"> are consistent with</w:t>
      </w:r>
      <w:r w:rsidRPr="001C1F9C">
        <w:rPr>
          <w:rFonts w:asciiTheme="minorHAnsi" w:hAnsiTheme="minorHAnsi"/>
          <w:sz w:val="22"/>
          <w:szCs w:val="22"/>
        </w:rPr>
        <w:t xml:space="preserve"> </w:t>
      </w:r>
      <w:r w:rsidRPr="001C1F9C">
        <w:t xml:space="preserve">provisions under RCW </w:t>
      </w:r>
      <w:hyperlink r:id="rId5" w:history="1">
        <w:r w:rsidRPr="001C1F9C">
          <w:rPr>
            <w:rStyle w:val="Hyperlink"/>
          </w:rPr>
          <w:t>28A.600.015</w:t>
        </w:r>
      </w:hyperlink>
      <w:r w:rsidRPr="001C1F9C">
        <w:t xml:space="preserve">(6) as well as conditions and limitations under </w:t>
      </w:r>
      <w:hyperlink r:id="rId6" w:history="1">
        <w:r w:rsidRPr="001C1F9C">
          <w:rPr>
            <w:rStyle w:val="Hyperlink"/>
          </w:rPr>
          <w:t>chapter 392-400 WAC</w:t>
        </w:r>
      </w:hyperlink>
      <w:r w:rsidRPr="001C1F9C">
        <w:t xml:space="preserve"> and also include recommendations for when a district’s discipline policies and procedures may permit or prohibit the use of classroom exclusion, in-school suspension, or short-term suspension. </w:t>
      </w:r>
      <w:bookmarkStart w:id="2" w:name="_Hlk62764002"/>
      <w:r w:rsidRPr="001C1F9C">
        <w:t xml:space="preserve">While the information in this matrix is consistent with federal and state laws, districts must ensure the district’s discipline policies and procedures, including clearly defined behavioral violations, are developed with the participation of school personnel, students, parents, families, and the community consistent with WSSDA policy 3241 and WAC </w:t>
      </w:r>
      <w:hyperlink r:id="rId7" w:history="1">
        <w:r w:rsidRPr="001C1F9C">
          <w:rPr>
            <w:rStyle w:val="Hyperlink"/>
          </w:rPr>
          <w:t>392-400-110</w:t>
        </w:r>
      </w:hyperlink>
      <w:r w:rsidRPr="001C1F9C">
        <w:t xml:space="preserve">(2). State laws establish the </w:t>
      </w:r>
      <w:r w:rsidRPr="001C1F9C">
        <w:rPr>
          <w:i/>
          <w:iCs/>
        </w:rPr>
        <w:t>minimum</w:t>
      </w:r>
      <w:r w:rsidRPr="001C1F9C">
        <w:t xml:space="preserve"> substantive and procedural due process requirements for student discipline in schools, but districts may adopt policies and procedures setting forth conditions and limitations that provide additional substantive and procedural protections for students.</w:t>
      </w:r>
      <w:bookmarkEnd w:id="2"/>
    </w:p>
  </w:endnote>
  <w:endnote w:id="3">
    <w:p w14:paraId="3E6AF23C" w14:textId="0C2564CC" w:rsidR="00EC2B82" w:rsidRDefault="00EC2B82">
      <w:pPr>
        <w:pStyle w:val="EndnoteText"/>
      </w:pPr>
      <w:r w:rsidRPr="001C1F9C">
        <w:rPr>
          <w:rStyle w:val="EndnoteReference"/>
        </w:rPr>
        <w:endnoteRef/>
      </w:r>
      <w:r w:rsidRPr="001C1F9C">
        <w:t xml:space="preserve"> Note, while this matrix organizes behavioral violations into severity levels that correlate with categories of potential responses intended to match the severity of behavior types, districts may also decide to organize behavioral violations so as to clearly delineate between minor versus major or classroom-managed versus office-managed behavioral violations. Within this matrix the </w:t>
      </w:r>
      <w:r w:rsidRPr="001C1F9C">
        <w:rPr>
          <w:i/>
          <w:iCs/>
        </w:rPr>
        <w:t>Type One</w:t>
      </w:r>
      <w:r w:rsidRPr="001C1F9C">
        <w:t xml:space="preserve"> category provides examples of low-level behavioral violations that should be managed at the classroom level without resulting in the use of any exclusionary discipline practices and the </w:t>
      </w:r>
      <w:r w:rsidRPr="001C1F9C">
        <w:rPr>
          <w:i/>
          <w:iCs/>
        </w:rPr>
        <w:t>Type Two</w:t>
      </w:r>
      <w:r w:rsidRPr="001C1F9C">
        <w:t xml:space="preserve"> category provides examples of some behavioral violations that may be office-managed without resulting in the use of suspension or expulsion. Regardless of how a district categorically labels behavioral violations under the </w:t>
      </w:r>
      <w:r w:rsidRPr="001C1F9C">
        <w:rPr>
          <w:i/>
          <w:iCs/>
        </w:rPr>
        <w:t>Type Two</w:t>
      </w:r>
      <w:r w:rsidRPr="001C1F9C">
        <w:t xml:space="preserve"> through </w:t>
      </w:r>
      <w:r w:rsidRPr="001C1F9C">
        <w:rPr>
          <w:i/>
          <w:iCs/>
        </w:rPr>
        <w:t>Type Five</w:t>
      </w:r>
      <w:r w:rsidRPr="001C1F9C">
        <w:t xml:space="preserve"> categories in this matrix, in accordance with WAC </w:t>
      </w:r>
      <w:hyperlink r:id="rId8" w:history="1">
        <w:r w:rsidRPr="001C1F9C">
          <w:rPr>
            <w:rStyle w:val="Hyperlink"/>
          </w:rPr>
          <w:t>392-400-430</w:t>
        </w:r>
      </w:hyperlink>
      <w:r w:rsidRPr="001C1F9C">
        <w:t>(2) the school district must consider the nature and circumstances of the behavioral violation when determining whether suspension or expulsion, and the length of the exclusion, is warranted.</w:t>
      </w:r>
    </w:p>
  </w:endnote>
  <w:endnote w:id="4">
    <w:p w14:paraId="26A941CD" w14:textId="3DDF4EBF" w:rsidR="00EC2B82" w:rsidRDefault="00EC2B82">
      <w:pPr>
        <w:pStyle w:val="EndnoteText"/>
      </w:pPr>
      <w:r>
        <w:rPr>
          <w:rStyle w:val="EndnoteReference"/>
        </w:rPr>
        <w:endnoteRef/>
      </w:r>
      <w:r>
        <w:t xml:space="preserve"> “Best practices” refers to </w:t>
      </w:r>
      <w:r>
        <w:rPr>
          <w:i/>
          <w:iCs/>
        </w:rPr>
        <w:t>best practices and strategies</w:t>
      </w:r>
      <w:r w:rsidRPr="00BF163C">
        <w:t xml:space="preserve"> </w:t>
      </w:r>
      <w:r>
        <w:t xml:space="preserve">the district identified </w:t>
      </w:r>
      <w:r w:rsidRPr="00BF163C">
        <w:t>that school personnel should administer before or instead of administering classroom exclusion, suspension, or expulsion to support students in meeting behavioral expectations</w:t>
      </w:r>
      <w:r>
        <w:t xml:space="preserve"> in accordance with WAC </w:t>
      </w:r>
      <w:hyperlink r:id="rId9" w:history="1">
        <w:r w:rsidRPr="00BF163C">
          <w:rPr>
            <w:rStyle w:val="Hyperlink"/>
          </w:rPr>
          <w:t>392-400-110</w:t>
        </w:r>
      </w:hyperlink>
      <w:r>
        <w:t xml:space="preserve">(1)(e). </w:t>
      </w:r>
      <w:r w:rsidRPr="001C1F9C">
        <w:t xml:space="preserve">Refer to </w:t>
      </w:r>
      <w:r w:rsidR="00FB2113" w:rsidRPr="001C1F9C">
        <w:t xml:space="preserve">“3241P Attachment B: </w:t>
      </w:r>
      <w:r w:rsidRPr="001C1F9C">
        <w:t>Example District Continuum of Discipline Responses” for an example of how best practices and strategies may be embedded in discipline procedures across severity levels of behavioral violations at the classroom and administrative levels</w:t>
      </w:r>
      <w:r w:rsidR="00FB2113" w:rsidRPr="001C1F9C">
        <w:t xml:space="preserve"> in a manner that corresponds with this matrix</w:t>
      </w:r>
      <w:r w:rsidRPr="001C1F9C">
        <w:t>.</w:t>
      </w:r>
    </w:p>
  </w:endnote>
  <w:endnote w:id="5">
    <w:p w14:paraId="32740B64" w14:textId="3C4D3978" w:rsidR="00EC2B82" w:rsidRDefault="00EC2B82">
      <w:pPr>
        <w:pStyle w:val="EndnoteText"/>
      </w:pPr>
      <w:r>
        <w:rPr>
          <w:rStyle w:val="EndnoteReference"/>
        </w:rPr>
        <w:endnoteRef/>
      </w:r>
      <w:r>
        <w:t xml:space="preserve"> Note, the information under this column represents a limited list of school referrals or protocols that may be required under corresponding district policies and is not to be interpreted as comprehensive. Districts should adapt the information as necessary in accordance with federal and state laws.</w:t>
      </w:r>
    </w:p>
  </w:endnote>
  <w:endnote w:id="6">
    <w:p w14:paraId="3F5A2C47" w14:textId="1D8E5BFA" w:rsidR="00EC2B82" w:rsidRPr="003275DD" w:rsidRDefault="00EC2B82">
      <w:pPr>
        <w:pStyle w:val="EndnoteText"/>
        <w:rPr>
          <w:szCs w:val="16"/>
        </w:rPr>
      </w:pPr>
      <w:r w:rsidRPr="003275DD">
        <w:rPr>
          <w:rStyle w:val="EndnoteReference"/>
          <w:szCs w:val="16"/>
        </w:rPr>
        <w:endnoteRef/>
      </w:r>
      <w:r w:rsidRPr="003275DD">
        <w:rPr>
          <w:szCs w:val="16"/>
        </w:rPr>
        <w:t xml:space="preserve"> “Firearm” refers to behavioral violations that meet the definition of offenses requiring a mandatory one-year expulsion under the </w:t>
      </w:r>
      <w:hyperlink r:id="rId10" w:history="1">
        <w:r w:rsidRPr="003275DD">
          <w:rPr>
            <w:rStyle w:val="Hyperlink"/>
            <w:szCs w:val="16"/>
          </w:rPr>
          <w:t>Gun-Free Schools Act</w:t>
        </w:r>
      </w:hyperlink>
      <w:r w:rsidRPr="003275DD">
        <w:rPr>
          <w:szCs w:val="16"/>
        </w:rPr>
        <w:t xml:space="preserve">; WAC </w:t>
      </w:r>
      <w:hyperlink r:id="rId11" w:history="1">
        <w:r w:rsidRPr="003275DD">
          <w:rPr>
            <w:rStyle w:val="Hyperlink"/>
            <w:szCs w:val="16"/>
          </w:rPr>
          <w:t>392-400-820</w:t>
        </w:r>
      </w:hyperlink>
      <w:r>
        <w:rPr>
          <w:szCs w:val="16"/>
        </w:rPr>
        <w:t>(1);</w:t>
      </w:r>
      <w:r w:rsidRPr="003275DD">
        <w:rPr>
          <w:szCs w:val="16"/>
        </w:rPr>
        <w:t xml:space="preserve"> RCW </w:t>
      </w:r>
      <w:hyperlink r:id="rId12" w:history="1">
        <w:r w:rsidRPr="00D32051">
          <w:rPr>
            <w:rStyle w:val="Hyperlink"/>
            <w:szCs w:val="16"/>
          </w:rPr>
          <w:t>28A.600.420</w:t>
        </w:r>
      </w:hyperlink>
      <w:r>
        <w:rPr>
          <w:szCs w:val="16"/>
        </w:rPr>
        <w:t>(1).</w:t>
      </w:r>
    </w:p>
  </w:endnote>
  <w:endnote w:id="7">
    <w:p w14:paraId="1363508B" w14:textId="1BE6E974" w:rsidR="00EC2B82" w:rsidRDefault="00EC2B82">
      <w:pPr>
        <w:pStyle w:val="EndnoteText"/>
      </w:pPr>
      <w:r>
        <w:rPr>
          <w:rStyle w:val="EndnoteReference"/>
        </w:rPr>
        <w:endnoteRef/>
      </w:r>
      <w:r>
        <w:t xml:space="preserve"> “School-based threat assessment referral” refers to policies and procedures under WSSDA policies 3225 and 3225P.</w:t>
      </w:r>
    </w:p>
  </w:endnote>
  <w:endnote w:id="8">
    <w:p w14:paraId="19F8E1CE" w14:textId="01E64763" w:rsidR="00EC2B82" w:rsidRPr="003275DD" w:rsidRDefault="00EC2B82">
      <w:pPr>
        <w:pStyle w:val="EndnoteText"/>
        <w:rPr>
          <w:szCs w:val="16"/>
        </w:rPr>
      </w:pPr>
      <w:r w:rsidRPr="003275DD">
        <w:rPr>
          <w:rStyle w:val="EndnoteReference"/>
          <w:szCs w:val="16"/>
        </w:rPr>
        <w:endnoteRef/>
      </w:r>
      <w:r w:rsidRPr="003275DD">
        <w:rPr>
          <w:szCs w:val="16"/>
        </w:rPr>
        <w:t xml:space="preserve"> “Assault </w:t>
      </w:r>
      <w:r>
        <w:rPr>
          <w:szCs w:val="16"/>
        </w:rPr>
        <w:t>– II</w:t>
      </w:r>
      <w:r w:rsidRPr="003275DD">
        <w:rPr>
          <w:szCs w:val="16"/>
        </w:rPr>
        <w:t xml:space="preserve">” refers to behavioral violations that meet the definition of an offense under RCW </w:t>
      </w:r>
      <w:hyperlink r:id="rId13" w:history="1">
        <w:r w:rsidRPr="003275DD">
          <w:rPr>
            <w:rStyle w:val="Hyperlink"/>
            <w:szCs w:val="16"/>
          </w:rPr>
          <w:t>9A.36.011</w:t>
        </w:r>
      </w:hyperlink>
      <w:r w:rsidRPr="003275DD">
        <w:rPr>
          <w:szCs w:val="16"/>
        </w:rPr>
        <w:t xml:space="preserve"> or RCW </w:t>
      </w:r>
      <w:hyperlink r:id="rId14" w:history="1">
        <w:r w:rsidRPr="003275DD">
          <w:rPr>
            <w:rStyle w:val="Hyperlink"/>
            <w:szCs w:val="16"/>
          </w:rPr>
          <w:t>9A.36.021</w:t>
        </w:r>
      </w:hyperlink>
      <w:bookmarkStart w:id="3" w:name="_Hlk37768874"/>
      <w:r>
        <w:rPr>
          <w:szCs w:val="16"/>
        </w:rPr>
        <w:t xml:space="preserve">—which may include </w:t>
      </w:r>
      <w:r w:rsidRPr="00D871A1">
        <w:rPr>
          <w:szCs w:val="16"/>
        </w:rPr>
        <w:t xml:space="preserve">behavioral violations under WAC </w:t>
      </w:r>
      <w:hyperlink r:id="rId15" w:history="1">
        <w:r w:rsidRPr="00D871A1">
          <w:rPr>
            <w:rStyle w:val="Hyperlink"/>
            <w:szCs w:val="16"/>
          </w:rPr>
          <w:t>392-172A-05149</w:t>
        </w:r>
      </w:hyperlink>
      <w:r w:rsidRPr="00D871A1">
        <w:rPr>
          <w:szCs w:val="16"/>
        </w:rPr>
        <w:t>(1)(c)</w:t>
      </w:r>
      <w:r>
        <w:rPr>
          <w:szCs w:val="16"/>
        </w:rPr>
        <w:t xml:space="preserve"> involving “serious bodily injury” as defined under</w:t>
      </w:r>
      <w:r w:rsidRPr="00D871A1">
        <w:rPr>
          <w:szCs w:val="16"/>
        </w:rPr>
        <w:t xml:space="preserve"> Section 1365 (h)(3) of Title 18, U.S.C.</w:t>
      </w:r>
      <w:bookmarkEnd w:id="3"/>
    </w:p>
  </w:endnote>
  <w:endnote w:id="9">
    <w:p w14:paraId="6A0ED1EE" w14:textId="5415BCCE" w:rsidR="00EC2B82" w:rsidRPr="003275DD" w:rsidRDefault="00EC2B82">
      <w:pPr>
        <w:pStyle w:val="EndnoteText"/>
        <w:rPr>
          <w:szCs w:val="16"/>
        </w:rPr>
      </w:pPr>
      <w:r w:rsidRPr="003275DD">
        <w:rPr>
          <w:rStyle w:val="EndnoteReference"/>
          <w:szCs w:val="16"/>
        </w:rPr>
        <w:endnoteRef/>
      </w:r>
      <w:r w:rsidRPr="003275DD">
        <w:rPr>
          <w:szCs w:val="16"/>
        </w:rPr>
        <w:t xml:space="preserve"> “Sexual assault” refers to behavioral violations that meet the definition of certain sex offenses under RCW </w:t>
      </w:r>
      <w:hyperlink r:id="rId16" w:history="1">
        <w:r w:rsidRPr="003275DD">
          <w:rPr>
            <w:rStyle w:val="Hyperlink"/>
            <w:szCs w:val="16"/>
          </w:rPr>
          <w:t>9.94A.030</w:t>
        </w:r>
      </w:hyperlink>
      <w:r w:rsidRPr="003275DD">
        <w:rPr>
          <w:szCs w:val="16"/>
        </w:rPr>
        <w:t>(4</w:t>
      </w:r>
      <w:r>
        <w:rPr>
          <w:szCs w:val="16"/>
        </w:rPr>
        <w:t>7</w:t>
      </w:r>
      <w:r w:rsidRPr="003275DD">
        <w:rPr>
          <w:szCs w:val="16"/>
        </w:rPr>
        <w:t>)</w:t>
      </w:r>
      <w:r>
        <w:rPr>
          <w:szCs w:val="16"/>
        </w:rPr>
        <w:t>.</w:t>
      </w:r>
    </w:p>
  </w:endnote>
  <w:endnote w:id="10">
    <w:p w14:paraId="527151A0" w14:textId="72E60B0F" w:rsidR="00EC2B82" w:rsidRDefault="00EC2B82">
      <w:pPr>
        <w:pStyle w:val="EndnoteText"/>
      </w:pPr>
      <w:r>
        <w:rPr>
          <w:rStyle w:val="EndnoteReference"/>
        </w:rPr>
        <w:endnoteRef/>
      </w:r>
      <w:r>
        <w:t xml:space="preserve"> </w:t>
      </w:r>
      <w:r w:rsidRPr="006D40B4">
        <w:t xml:space="preserve">“Title IX </w:t>
      </w:r>
      <w:r>
        <w:t>Coordinato</w:t>
      </w:r>
      <w:r w:rsidRPr="006D40B4">
        <w:t>r referral”</w:t>
      </w:r>
      <w:r>
        <w:t xml:space="preserve"> refers to the school district personnel designated to coordinate the district’s compliance with </w:t>
      </w:r>
      <w:hyperlink r:id="rId17" w:history="1">
        <w:r w:rsidRPr="00732538">
          <w:rPr>
            <w:rStyle w:val="Hyperlink"/>
            <w:lang w:val="en"/>
          </w:rPr>
          <w:t>Title IX of the Education Amendments of 1972</w:t>
        </w:r>
      </w:hyperlink>
      <w:r>
        <w:t xml:space="preserve">, as </w:t>
      </w:r>
      <w:r w:rsidRPr="00732538">
        <w:rPr>
          <w:lang w:val="en"/>
        </w:rPr>
        <w:t xml:space="preserve">well as state civil rights requirements regarding sex discrimination and sexual harassment </w:t>
      </w:r>
      <w:r>
        <w:rPr>
          <w:lang w:val="en"/>
        </w:rPr>
        <w:t xml:space="preserve">under </w:t>
      </w:r>
      <w:r w:rsidRPr="00732538">
        <w:rPr>
          <w:lang w:val="en"/>
        </w:rPr>
        <w:t xml:space="preserve">chapters </w:t>
      </w:r>
      <w:hyperlink r:id="rId18" w:history="1">
        <w:r w:rsidRPr="00732538">
          <w:rPr>
            <w:rStyle w:val="Hyperlink"/>
            <w:lang w:val="en"/>
          </w:rPr>
          <w:t>28A.640 RCW</w:t>
        </w:r>
      </w:hyperlink>
      <w:r w:rsidRPr="00732538">
        <w:rPr>
          <w:lang w:val="en"/>
        </w:rPr>
        <w:t xml:space="preserve"> and </w:t>
      </w:r>
      <w:hyperlink r:id="rId19" w:history="1">
        <w:r w:rsidRPr="00732538">
          <w:rPr>
            <w:rStyle w:val="Hyperlink"/>
            <w:lang w:val="en"/>
          </w:rPr>
          <w:t>392-190 WAC</w:t>
        </w:r>
      </w:hyperlink>
      <w:r w:rsidRPr="00732538">
        <w:rPr>
          <w:lang w:val="en"/>
        </w:rPr>
        <w:t>.</w:t>
      </w:r>
    </w:p>
  </w:endnote>
  <w:endnote w:id="11">
    <w:p w14:paraId="44CA3B0E" w14:textId="33EE91C6" w:rsidR="00EC2B82" w:rsidRPr="003275DD" w:rsidRDefault="00EC2B82">
      <w:pPr>
        <w:pStyle w:val="EndnoteText"/>
        <w:rPr>
          <w:szCs w:val="16"/>
        </w:rPr>
      </w:pPr>
      <w:r w:rsidRPr="003275DD">
        <w:rPr>
          <w:rStyle w:val="EndnoteReference"/>
          <w:szCs w:val="16"/>
        </w:rPr>
        <w:endnoteRef/>
      </w:r>
      <w:r w:rsidRPr="003275DD">
        <w:rPr>
          <w:szCs w:val="16"/>
        </w:rPr>
        <w:t xml:space="preserve"> “Illicit drug distribution” refers to behavioral violations that meet the definition of </w:t>
      </w:r>
      <w:r>
        <w:rPr>
          <w:szCs w:val="16"/>
        </w:rPr>
        <w:t xml:space="preserve">delivery of </w:t>
      </w:r>
      <w:r w:rsidRPr="003275DD">
        <w:rPr>
          <w:szCs w:val="16"/>
        </w:rPr>
        <w:t>controlled substance</w:t>
      </w:r>
      <w:r>
        <w:rPr>
          <w:szCs w:val="16"/>
        </w:rPr>
        <w:t>s</w:t>
      </w:r>
      <w:r w:rsidRPr="003275DD">
        <w:rPr>
          <w:szCs w:val="16"/>
        </w:rPr>
        <w:t xml:space="preserve">, excluding marijuana, </w:t>
      </w:r>
      <w:r>
        <w:rPr>
          <w:szCs w:val="16"/>
        </w:rPr>
        <w:t>under</w:t>
      </w:r>
      <w:r w:rsidRPr="003275DD">
        <w:rPr>
          <w:szCs w:val="16"/>
        </w:rPr>
        <w:t xml:space="preserve"> </w:t>
      </w:r>
      <w:r>
        <w:rPr>
          <w:szCs w:val="16"/>
        </w:rPr>
        <w:t>c</w:t>
      </w:r>
      <w:r w:rsidRPr="003275DD">
        <w:rPr>
          <w:szCs w:val="16"/>
        </w:rPr>
        <w:t xml:space="preserve">hapter </w:t>
      </w:r>
      <w:hyperlink r:id="rId20" w:history="1">
        <w:r w:rsidRPr="003275DD">
          <w:rPr>
            <w:rStyle w:val="Hyperlink"/>
            <w:szCs w:val="16"/>
          </w:rPr>
          <w:t>69.50</w:t>
        </w:r>
      </w:hyperlink>
      <w:r w:rsidRPr="003275DD">
        <w:rPr>
          <w:szCs w:val="16"/>
        </w:rPr>
        <w:t xml:space="preserve"> RCW</w:t>
      </w:r>
      <w:r>
        <w:rPr>
          <w:szCs w:val="16"/>
        </w:rPr>
        <w:t>.</w:t>
      </w:r>
    </w:p>
  </w:endnote>
  <w:endnote w:id="12">
    <w:p w14:paraId="724ECE7E" w14:textId="08F3CC9C" w:rsidR="00EC2B82" w:rsidRDefault="00EC2B82">
      <w:pPr>
        <w:pStyle w:val="EndnoteText"/>
      </w:pPr>
      <w:r>
        <w:rPr>
          <w:rStyle w:val="EndnoteReference"/>
        </w:rPr>
        <w:endnoteRef/>
      </w:r>
      <w:r>
        <w:t xml:space="preserve"> “Prevention/intervention referral” refers to substance use prevention and intervention personnel or services available to the district, which may also include Student Assistance Program or other behavioral health supports at the district or community level.</w:t>
      </w:r>
    </w:p>
  </w:endnote>
  <w:endnote w:id="13">
    <w:p w14:paraId="7D7FB8AF" w14:textId="393390ED" w:rsidR="00EC2B82" w:rsidRPr="003275DD" w:rsidRDefault="00EC2B82">
      <w:pPr>
        <w:pStyle w:val="EndnoteText"/>
        <w:rPr>
          <w:szCs w:val="16"/>
        </w:rPr>
      </w:pPr>
      <w:r w:rsidRPr="003275DD">
        <w:rPr>
          <w:rStyle w:val="EndnoteReference"/>
          <w:szCs w:val="16"/>
        </w:rPr>
        <w:endnoteRef/>
      </w:r>
      <w:r w:rsidRPr="003275DD">
        <w:rPr>
          <w:szCs w:val="16"/>
        </w:rPr>
        <w:t xml:space="preserve"> “Possession of a weapon” refers to behavioral violations that meet the definition of an offense under RCW </w:t>
      </w:r>
      <w:hyperlink r:id="rId21" w:history="1">
        <w:r w:rsidRPr="003275DD">
          <w:rPr>
            <w:rStyle w:val="Hyperlink"/>
            <w:szCs w:val="16"/>
          </w:rPr>
          <w:t>9.41.280</w:t>
        </w:r>
      </w:hyperlink>
      <w:r w:rsidRPr="003275DD">
        <w:rPr>
          <w:szCs w:val="16"/>
        </w:rPr>
        <w:t>.</w:t>
      </w:r>
    </w:p>
  </w:endnote>
  <w:endnote w:id="14">
    <w:p w14:paraId="0A1FD91D" w14:textId="02A8F475" w:rsidR="00EC2B82" w:rsidRPr="003275DD" w:rsidRDefault="00EC2B82">
      <w:pPr>
        <w:pStyle w:val="EndnoteText"/>
        <w:rPr>
          <w:szCs w:val="16"/>
        </w:rPr>
      </w:pPr>
      <w:r w:rsidRPr="003275DD">
        <w:rPr>
          <w:rStyle w:val="EndnoteReference"/>
          <w:szCs w:val="16"/>
        </w:rPr>
        <w:endnoteRef/>
      </w:r>
      <w:r w:rsidRPr="003275DD">
        <w:rPr>
          <w:szCs w:val="16"/>
        </w:rPr>
        <w:t xml:space="preserve"> “Robbery” refers to behavioral violations that meet the definition of an offense under RCW </w:t>
      </w:r>
      <w:hyperlink r:id="rId22" w:history="1">
        <w:r w:rsidRPr="003275DD">
          <w:rPr>
            <w:rStyle w:val="Hyperlink"/>
            <w:szCs w:val="16"/>
          </w:rPr>
          <w:t>9A.56.190</w:t>
        </w:r>
      </w:hyperlink>
      <w:r w:rsidRPr="003275DD">
        <w:rPr>
          <w:szCs w:val="16"/>
        </w:rPr>
        <w:t xml:space="preserve"> </w:t>
      </w:r>
      <w:r>
        <w:rPr>
          <w:szCs w:val="16"/>
        </w:rPr>
        <w:t xml:space="preserve">and RCW </w:t>
      </w:r>
      <w:hyperlink r:id="rId23" w:history="1">
        <w:r w:rsidRPr="00AF64CD">
          <w:rPr>
            <w:rStyle w:val="Hyperlink"/>
            <w:szCs w:val="16"/>
          </w:rPr>
          <w:t>9A.56.200</w:t>
        </w:r>
      </w:hyperlink>
      <w:r>
        <w:rPr>
          <w:szCs w:val="16"/>
        </w:rPr>
        <w:t xml:space="preserve"> or RCW</w:t>
      </w:r>
      <w:r w:rsidRPr="003275DD">
        <w:rPr>
          <w:szCs w:val="16"/>
        </w:rPr>
        <w:t xml:space="preserve"> </w:t>
      </w:r>
      <w:hyperlink r:id="rId24" w:history="1">
        <w:r w:rsidRPr="00AF64CD">
          <w:rPr>
            <w:rStyle w:val="Hyperlink"/>
            <w:szCs w:val="16"/>
          </w:rPr>
          <w:t>9A.56.210</w:t>
        </w:r>
      </w:hyperlink>
      <w:r>
        <w:rPr>
          <w:szCs w:val="16"/>
        </w:rPr>
        <w:t>.</w:t>
      </w:r>
    </w:p>
  </w:endnote>
  <w:endnote w:id="15">
    <w:p w14:paraId="424237CB" w14:textId="4CB5CAC8" w:rsidR="00EC2B82" w:rsidRPr="003275DD" w:rsidRDefault="00EC2B82" w:rsidP="00D514AD">
      <w:pPr>
        <w:pStyle w:val="EndnoteText"/>
        <w:rPr>
          <w:szCs w:val="16"/>
        </w:rPr>
      </w:pPr>
      <w:r w:rsidRPr="003275DD">
        <w:rPr>
          <w:rStyle w:val="EndnoteReference"/>
          <w:szCs w:val="16"/>
        </w:rPr>
        <w:endnoteRef/>
      </w:r>
      <w:r w:rsidRPr="003275DD">
        <w:rPr>
          <w:szCs w:val="16"/>
        </w:rPr>
        <w:t xml:space="preserve"> “Assault of teacher” refers to behavioral violations that meet the definition of an offense directed toward a teacher under WAC </w:t>
      </w:r>
      <w:hyperlink r:id="rId25" w:history="1">
        <w:r w:rsidRPr="003275DD">
          <w:rPr>
            <w:rStyle w:val="Hyperlink"/>
            <w:szCs w:val="16"/>
          </w:rPr>
          <w:t>392-400-810</w:t>
        </w:r>
      </w:hyperlink>
      <w:r w:rsidRPr="003275DD">
        <w:rPr>
          <w:szCs w:val="16"/>
        </w:rPr>
        <w:t>(1)</w:t>
      </w:r>
      <w:r>
        <w:rPr>
          <w:szCs w:val="16"/>
        </w:rPr>
        <w:t xml:space="preserve"> and</w:t>
      </w:r>
      <w:r w:rsidRPr="003275DD">
        <w:rPr>
          <w:szCs w:val="16"/>
        </w:rPr>
        <w:t xml:space="preserve"> RCW </w:t>
      </w:r>
      <w:hyperlink r:id="rId26" w:history="1">
        <w:r w:rsidRPr="003275DD">
          <w:rPr>
            <w:rStyle w:val="Hyperlink"/>
            <w:szCs w:val="16"/>
          </w:rPr>
          <w:t>28A.600.460</w:t>
        </w:r>
      </w:hyperlink>
      <w:r w:rsidRPr="003275DD">
        <w:rPr>
          <w:szCs w:val="16"/>
        </w:rPr>
        <w:t>(2)</w:t>
      </w:r>
      <w:r w:rsidRPr="00D871A1">
        <w:rPr>
          <w:szCs w:val="16"/>
        </w:rPr>
        <w:t xml:space="preserve">—which may include behavioral violations under WAC </w:t>
      </w:r>
      <w:hyperlink r:id="rId27" w:history="1">
        <w:r w:rsidRPr="00D871A1">
          <w:rPr>
            <w:rStyle w:val="Hyperlink"/>
            <w:szCs w:val="16"/>
          </w:rPr>
          <w:t>392-172A-05149</w:t>
        </w:r>
      </w:hyperlink>
      <w:r w:rsidRPr="00D871A1">
        <w:rPr>
          <w:szCs w:val="16"/>
        </w:rPr>
        <w:t>(1)(c) involving “serious bodily injury” as defined under Section 1365 (h)(3) of Title 18, U.S.C.</w:t>
      </w:r>
      <w:r>
        <w:rPr>
          <w:szCs w:val="16"/>
        </w:rPr>
        <w:t xml:space="preserve"> </w:t>
      </w:r>
    </w:p>
  </w:endnote>
  <w:endnote w:id="16">
    <w:p w14:paraId="3E5D3ED5" w14:textId="74B89C83" w:rsidR="00EC2B82" w:rsidRDefault="00EC2B82">
      <w:pPr>
        <w:pStyle w:val="EndnoteText"/>
      </w:pPr>
      <w:r>
        <w:rPr>
          <w:rStyle w:val="EndnoteReference"/>
        </w:rPr>
        <w:endnoteRef/>
      </w:r>
      <w:r>
        <w:t xml:space="preserve"> RCW </w:t>
      </w:r>
      <w:hyperlink r:id="rId28" w:history="1">
        <w:r w:rsidRPr="00E4159E">
          <w:rPr>
            <w:rStyle w:val="Hyperlink"/>
          </w:rPr>
          <w:t>28A.600.460</w:t>
        </w:r>
      </w:hyperlink>
      <w:r>
        <w:t>(2) provides that a student who commits an offense under that statutory provision “when the activity is directed toward the teacher, shall not be assigned to that teacher’s classroom for the duration of the student’s attendance at that school or any other school where the teacher is assigned.”</w:t>
      </w:r>
    </w:p>
  </w:endnote>
  <w:endnote w:id="17">
    <w:p w14:paraId="7D699069" w14:textId="78808B30" w:rsidR="00EC2B82" w:rsidRPr="003275DD" w:rsidRDefault="00EC2B82">
      <w:pPr>
        <w:pStyle w:val="EndnoteText"/>
        <w:rPr>
          <w:szCs w:val="16"/>
        </w:rPr>
      </w:pPr>
      <w:r w:rsidRPr="003275DD">
        <w:rPr>
          <w:rStyle w:val="EndnoteReference"/>
          <w:szCs w:val="16"/>
        </w:rPr>
        <w:endnoteRef/>
      </w:r>
      <w:r w:rsidRPr="003275DD">
        <w:rPr>
          <w:szCs w:val="16"/>
        </w:rPr>
        <w:t xml:space="preserve"> </w:t>
      </w:r>
      <w:bookmarkStart w:id="4" w:name="_Hlk37329977"/>
      <w:r w:rsidRPr="003275DD">
        <w:rPr>
          <w:szCs w:val="16"/>
        </w:rPr>
        <w:t xml:space="preserve">“Safety – </w:t>
      </w:r>
      <w:r w:rsidRPr="003275DD">
        <w:rPr>
          <w:rFonts w:cs="Times New Roman"/>
          <w:szCs w:val="16"/>
        </w:rPr>
        <w:t>II</w:t>
      </w:r>
      <w:r w:rsidRPr="003275DD">
        <w:rPr>
          <w:szCs w:val="16"/>
        </w:rPr>
        <w:t xml:space="preserve">“ refers to behavioral violations that meet the definition of “Behavior that adversely impacts the health or safety of other students or educational staff” under RCW </w:t>
      </w:r>
      <w:hyperlink r:id="rId29" w:history="1">
        <w:r w:rsidRPr="003275DD">
          <w:rPr>
            <w:rStyle w:val="Hyperlink"/>
            <w:szCs w:val="16"/>
          </w:rPr>
          <w:t>28A.600.015</w:t>
        </w:r>
      </w:hyperlink>
      <w:r w:rsidRPr="003275DD">
        <w:rPr>
          <w:szCs w:val="16"/>
        </w:rPr>
        <w:t xml:space="preserve">(6)(d) and meets the criteria for administering expulsion under WAC </w:t>
      </w:r>
      <w:hyperlink r:id="rId30" w:history="1">
        <w:r w:rsidRPr="003275DD">
          <w:rPr>
            <w:rStyle w:val="Hyperlink"/>
            <w:szCs w:val="16"/>
          </w:rPr>
          <w:t>392-400-445</w:t>
        </w:r>
      </w:hyperlink>
      <w:r w:rsidRPr="003275DD">
        <w:rPr>
          <w:szCs w:val="16"/>
        </w:rPr>
        <w:t xml:space="preserve">(2) but that does not constitute a </w:t>
      </w:r>
      <w:r w:rsidRPr="003275DD">
        <w:rPr>
          <w:i/>
          <w:iCs/>
          <w:szCs w:val="16"/>
        </w:rPr>
        <w:t>Type Five</w:t>
      </w:r>
      <w:r w:rsidRPr="003275DD">
        <w:rPr>
          <w:szCs w:val="16"/>
        </w:rPr>
        <w:t xml:space="preserve"> behavioral violation under any other category.</w:t>
      </w:r>
      <w:bookmarkEnd w:id="4"/>
    </w:p>
  </w:endnote>
  <w:endnote w:id="18">
    <w:p w14:paraId="38B89C94" w14:textId="640905D6" w:rsidR="00EC2B82" w:rsidRPr="003275DD" w:rsidRDefault="00EC2B82">
      <w:pPr>
        <w:pStyle w:val="EndnoteText"/>
        <w:rPr>
          <w:szCs w:val="16"/>
        </w:rPr>
      </w:pPr>
      <w:r w:rsidRPr="003275DD">
        <w:rPr>
          <w:rStyle w:val="EndnoteReference"/>
          <w:szCs w:val="16"/>
        </w:rPr>
        <w:endnoteRef/>
      </w:r>
      <w:r w:rsidRPr="003275DD">
        <w:rPr>
          <w:szCs w:val="16"/>
        </w:rPr>
        <w:t xml:space="preserve"> “Assault </w:t>
      </w:r>
      <w:r>
        <w:rPr>
          <w:szCs w:val="16"/>
        </w:rPr>
        <w:t>– I</w:t>
      </w:r>
      <w:r w:rsidRPr="003275DD">
        <w:rPr>
          <w:szCs w:val="16"/>
        </w:rPr>
        <w:t xml:space="preserve">” refers to behavioral violations </w:t>
      </w:r>
      <w:r>
        <w:rPr>
          <w:szCs w:val="16"/>
        </w:rPr>
        <w:t>involving an assault upon another person</w:t>
      </w:r>
      <w:r w:rsidRPr="00597159">
        <w:rPr>
          <w:szCs w:val="16"/>
        </w:rPr>
        <w:t xml:space="preserve"> </w:t>
      </w:r>
      <w:r>
        <w:rPr>
          <w:szCs w:val="16"/>
        </w:rPr>
        <w:t xml:space="preserve">that do </w:t>
      </w:r>
      <w:r w:rsidRPr="00597159">
        <w:rPr>
          <w:szCs w:val="16"/>
        </w:rPr>
        <w:t xml:space="preserve">not </w:t>
      </w:r>
      <w:r>
        <w:rPr>
          <w:szCs w:val="16"/>
        </w:rPr>
        <w:t>meet the definition of</w:t>
      </w:r>
      <w:r w:rsidRPr="00597159">
        <w:rPr>
          <w:szCs w:val="16"/>
        </w:rPr>
        <w:t xml:space="preserve"> a</w:t>
      </w:r>
      <w:r>
        <w:rPr>
          <w:szCs w:val="16"/>
        </w:rPr>
        <w:t xml:space="preserve">n </w:t>
      </w:r>
      <w:r w:rsidRPr="00597159">
        <w:rPr>
          <w:szCs w:val="16"/>
        </w:rPr>
        <w:t>offense under RCW</w:t>
      </w:r>
      <w:r>
        <w:rPr>
          <w:szCs w:val="16"/>
        </w:rPr>
        <w:t xml:space="preserve"> </w:t>
      </w:r>
      <w:hyperlink r:id="rId31" w:history="1">
        <w:r w:rsidRPr="00597159">
          <w:rPr>
            <w:rStyle w:val="Hyperlink"/>
            <w:szCs w:val="16"/>
          </w:rPr>
          <w:t>9A.36.011</w:t>
        </w:r>
      </w:hyperlink>
      <w:r w:rsidRPr="00597159">
        <w:rPr>
          <w:szCs w:val="16"/>
        </w:rPr>
        <w:t xml:space="preserve"> or RCW </w:t>
      </w:r>
      <w:hyperlink r:id="rId32" w:history="1">
        <w:r w:rsidRPr="00597159">
          <w:rPr>
            <w:rStyle w:val="Hyperlink"/>
            <w:szCs w:val="16"/>
          </w:rPr>
          <w:t>9A.36.021</w:t>
        </w:r>
      </w:hyperlink>
      <w:r>
        <w:rPr>
          <w:rStyle w:val="Hyperlink"/>
          <w:szCs w:val="16"/>
        </w:rPr>
        <w:t>.</w:t>
      </w:r>
    </w:p>
  </w:endnote>
  <w:endnote w:id="19">
    <w:p w14:paraId="00525991" w14:textId="1C3AEA25" w:rsidR="00EC2B82" w:rsidRPr="003275DD" w:rsidRDefault="00EC2B82">
      <w:pPr>
        <w:pStyle w:val="EndnoteText"/>
        <w:rPr>
          <w:szCs w:val="16"/>
        </w:rPr>
      </w:pPr>
      <w:r w:rsidRPr="003275DD">
        <w:rPr>
          <w:rStyle w:val="EndnoteReference"/>
          <w:szCs w:val="16"/>
        </w:rPr>
        <w:endnoteRef/>
      </w:r>
      <w:r w:rsidRPr="003275DD">
        <w:rPr>
          <w:szCs w:val="16"/>
        </w:rPr>
        <w:t xml:space="preserve"> “Fighting with major injury” refers to behavioral violations involving mutual participation in physical violence where there is injury that meets the definition of “substantial bodily harm” or “great bodily harm” under RCW </w:t>
      </w:r>
      <w:hyperlink r:id="rId33" w:history="1">
        <w:r w:rsidRPr="003275DD">
          <w:rPr>
            <w:rStyle w:val="Hyperlink"/>
            <w:szCs w:val="16"/>
          </w:rPr>
          <w:t>9A.04.110</w:t>
        </w:r>
      </w:hyperlink>
      <w:r w:rsidRPr="003275DD">
        <w:rPr>
          <w:szCs w:val="16"/>
        </w:rPr>
        <w:t>(4)</w:t>
      </w:r>
      <w:r w:rsidRPr="00D871A1">
        <w:rPr>
          <w:szCs w:val="16"/>
        </w:rPr>
        <w:t xml:space="preserve">—which may include behavioral violations under WAC </w:t>
      </w:r>
      <w:hyperlink r:id="rId34" w:history="1">
        <w:r w:rsidRPr="00D871A1">
          <w:rPr>
            <w:rStyle w:val="Hyperlink"/>
            <w:szCs w:val="16"/>
          </w:rPr>
          <w:t>392-172A-05149</w:t>
        </w:r>
      </w:hyperlink>
      <w:r w:rsidRPr="00D871A1">
        <w:rPr>
          <w:szCs w:val="16"/>
        </w:rPr>
        <w:t>(1)(c) involving “serious bodily injury” as defined under Section 1365 (h)(3) of Title 18, U.S.C.</w:t>
      </w:r>
    </w:p>
  </w:endnote>
  <w:endnote w:id="20">
    <w:p w14:paraId="53644385" w14:textId="5057E097" w:rsidR="00EC2B82" w:rsidRPr="003275DD" w:rsidRDefault="00EC2B82">
      <w:pPr>
        <w:pStyle w:val="EndnoteText"/>
        <w:rPr>
          <w:szCs w:val="16"/>
        </w:rPr>
      </w:pPr>
      <w:r w:rsidRPr="003275DD">
        <w:rPr>
          <w:rStyle w:val="EndnoteReference"/>
          <w:szCs w:val="16"/>
        </w:rPr>
        <w:endnoteRef/>
      </w:r>
      <w:r w:rsidRPr="003275DD">
        <w:rPr>
          <w:szCs w:val="16"/>
        </w:rPr>
        <w:t xml:space="preserve"> “Sexual harassment” refers to behavioral violations that meet the definition of an offense under </w:t>
      </w:r>
      <w:r>
        <w:rPr>
          <w:szCs w:val="16"/>
        </w:rPr>
        <w:t xml:space="preserve">RCW </w:t>
      </w:r>
      <w:hyperlink r:id="rId35" w:history="1">
        <w:r w:rsidRPr="009D12B8">
          <w:rPr>
            <w:rStyle w:val="Hyperlink"/>
            <w:szCs w:val="16"/>
          </w:rPr>
          <w:t>28A.640.020</w:t>
        </w:r>
      </w:hyperlink>
      <w:r>
        <w:rPr>
          <w:szCs w:val="16"/>
        </w:rPr>
        <w:t xml:space="preserve">(2)(f) and </w:t>
      </w:r>
      <w:r w:rsidRPr="003275DD">
        <w:rPr>
          <w:szCs w:val="16"/>
        </w:rPr>
        <w:t xml:space="preserve">WAC </w:t>
      </w:r>
      <w:hyperlink r:id="rId36" w:history="1">
        <w:r w:rsidRPr="003275DD">
          <w:rPr>
            <w:rStyle w:val="Hyperlink"/>
            <w:szCs w:val="16"/>
          </w:rPr>
          <w:t>392-190-056</w:t>
        </w:r>
      </w:hyperlink>
      <w:r>
        <w:rPr>
          <w:rStyle w:val="Hyperlink"/>
          <w:szCs w:val="16"/>
        </w:rPr>
        <w:t>.</w:t>
      </w:r>
    </w:p>
  </w:endnote>
  <w:endnote w:id="21">
    <w:p w14:paraId="25B93ECD" w14:textId="3D3905BE" w:rsidR="00EC2B82" w:rsidRPr="003275DD" w:rsidRDefault="00EC2B82">
      <w:pPr>
        <w:pStyle w:val="EndnoteText"/>
        <w:rPr>
          <w:szCs w:val="16"/>
        </w:rPr>
      </w:pPr>
      <w:r w:rsidRPr="003275DD">
        <w:rPr>
          <w:rStyle w:val="EndnoteReference"/>
          <w:szCs w:val="16"/>
        </w:rPr>
        <w:endnoteRef/>
      </w:r>
      <w:r w:rsidRPr="003275DD">
        <w:rPr>
          <w:szCs w:val="16"/>
        </w:rPr>
        <w:t xml:space="preserve"> “Discriminatory harassment” refers to behavioral violations </w:t>
      </w:r>
      <w:r>
        <w:rPr>
          <w:szCs w:val="16"/>
        </w:rPr>
        <w:t>constituting conduct or communication that is intended to be harmful, humiliating, or physically threatening, and shows hostility toward a person or persons based on their real or perceived sex, race,</w:t>
      </w:r>
      <w:r>
        <w:t xml:space="preserve"> </w:t>
      </w:r>
      <w:r w:rsidRPr="00A61D11">
        <w:rPr>
          <w:szCs w:val="16"/>
        </w:rPr>
        <w:t>creed, religion, color, national origin, sexual orientation, gender identity, gender expression, veteran or military status, disability, or use of a trained dog guide or service animal</w:t>
      </w:r>
      <w:r>
        <w:rPr>
          <w:szCs w:val="16"/>
        </w:rPr>
        <w:t xml:space="preserve"> in violation of district policy.</w:t>
      </w:r>
    </w:p>
  </w:endnote>
  <w:endnote w:id="22">
    <w:p w14:paraId="2A1E9237" w14:textId="377AC22F" w:rsidR="00EC2B82" w:rsidRDefault="00EC2B82">
      <w:pPr>
        <w:pStyle w:val="EndnoteText"/>
      </w:pPr>
      <w:r>
        <w:rPr>
          <w:rStyle w:val="EndnoteReference"/>
        </w:rPr>
        <w:endnoteRef/>
      </w:r>
      <w:r>
        <w:t xml:space="preserve"> “Civil Rights Coordinator referral” refers to the </w:t>
      </w:r>
      <w:r w:rsidRPr="00732538">
        <w:t>school district personnel designated to</w:t>
      </w:r>
      <w:r w:rsidRPr="00732538">
        <w:rPr>
          <w:rFonts w:ascii="Open Sans" w:hAnsi="Open Sans" w:cs="Open Sans"/>
          <w:color w:val="49473B"/>
          <w:sz w:val="23"/>
          <w:szCs w:val="23"/>
          <w:lang w:val="en"/>
        </w:rPr>
        <w:t xml:space="preserve"> </w:t>
      </w:r>
      <w:r w:rsidRPr="00732538">
        <w:rPr>
          <w:lang w:val="en"/>
        </w:rPr>
        <w:t xml:space="preserve">be responsible for monitoring and coordinating the district’s compliance with state nondiscrimination laws </w:t>
      </w:r>
      <w:r>
        <w:rPr>
          <w:lang w:val="en"/>
        </w:rPr>
        <w:t xml:space="preserve">under </w:t>
      </w:r>
      <w:r w:rsidRPr="00732538">
        <w:rPr>
          <w:lang w:val="en"/>
        </w:rPr>
        <w:t xml:space="preserve">chapters </w:t>
      </w:r>
      <w:hyperlink r:id="rId37" w:history="1">
        <w:r w:rsidRPr="00732538">
          <w:rPr>
            <w:rStyle w:val="Hyperlink"/>
            <w:lang w:val="en"/>
          </w:rPr>
          <w:t>28A.640</w:t>
        </w:r>
      </w:hyperlink>
      <w:r w:rsidRPr="00732538">
        <w:rPr>
          <w:lang w:val="en"/>
        </w:rPr>
        <w:t xml:space="preserve"> and </w:t>
      </w:r>
      <w:hyperlink r:id="rId38" w:history="1">
        <w:r w:rsidRPr="001E7685">
          <w:rPr>
            <w:rStyle w:val="Hyperlink"/>
            <w:lang w:val="en"/>
          </w:rPr>
          <w:t>28A.642</w:t>
        </w:r>
      </w:hyperlink>
      <w:r w:rsidRPr="001E7685">
        <w:rPr>
          <w:lang w:val="en"/>
        </w:rPr>
        <w:t xml:space="preserve"> </w:t>
      </w:r>
      <w:r>
        <w:rPr>
          <w:lang w:val="en"/>
        </w:rPr>
        <w:t>RCW,</w:t>
      </w:r>
      <w:r w:rsidRPr="00732538">
        <w:rPr>
          <w:lang w:val="en"/>
        </w:rPr>
        <w:t xml:space="preserve"> and </w:t>
      </w:r>
      <w:hyperlink r:id="rId39" w:history="1">
        <w:r w:rsidRPr="00732538">
          <w:rPr>
            <w:rStyle w:val="Hyperlink"/>
            <w:lang w:val="en"/>
          </w:rPr>
          <w:t>chapter 392-190 WAC</w:t>
        </w:r>
      </w:hyperlink>
      <w:r w:rsidRPr="00732538">
        <w:rPr>
          <w:lang w:val="en"/>
        </w:rPr>
        <w:t>.</w:t>
      </w:r>
    </w:p>
  </w:endnote>
  <w:endnote w:id="23">
    <w:p w14:paraId="6450502C" w14:textId="59B3DF25" w:rsidR="00EC2B82" w:rsidRDefault="00EC2B82">
      <w:pPr>
        <w:pStyle w:val="EndnoteText"/>
      </w:pPr>
      <w:r>
        <w:rPr>
          <w:rStyle w:val="EndnoteReference"/>
        </w:rPr>
        <w:endnoteRef/>
      </w:r>
      <w:r>
        <w:t xml:space="preserve"> “Malicious harassment” refers to behavioral violations that meet the definition of an offense under RCW </w:t>
      </w:r>
      <w:hyperlink r:id="rId40" w:history="1">
        <w:r w:rsidRPr="0090061F">
          <w:rPr>
            <w:rStyle w:val="Hyperlink"/>
          </w:rPr>
          <w:t>9A.46.020</w:t>
        </w:r>
      </w:hyperlink>
      <w:r>
        <w:t>(1).</w:t>
      </w:r>
    </w:p>
  </w:endnote>
  <w:endnote w:id="24">
    <w:p w14:paraId="6F51C866" w14:textId="782A837D" w:rsidR="00EC2B82" w:rsidRPr="003275DD" w:rsidRDefault="00EC2B82">
      <w:pPr>
        <w:pStyle w:val="EndnoteText"/>
        <w:rPr>
          <w:szCs w:val="16"/>
        </w:rPr>
      </w:pPr>
      <w:r w:rsidRPr="003275DD">
        <w:rPr>
          <w:rStyle w:val="EndnoteReference"/>
          <w:szCs w:val="16"/>
        </w:rPr>
        <w:endnoteRef/>
      </w:r>
      <w:r w:rsidRPr="003275DD">
        <w:rPr>
          <w:szCs w:val="16"/>
        </w:rPr>
        <w:t xml:space="preserve"> “Arson” refers to behavioral violations that meet the definition of an offense under RCW </w:t>
      </w:r>
      <w:hyperlink r:id="rId41" w:history="1">
        <w:r w:rsidRPr="003275DD">
          <w:rPr>
            <w:rStyle w:val="Hyperlink"/>
            <w:szCs w:val="16"/>
          </w:rPr>
          <w:t>9A.48.020</w:t>
        </w:r>
      </w:hyperlink>
      <w:r w:rsidRPr="003275DD">
        <w:rPr>
          <w:szCs w:val="16"/>
        </w:rPr>
        <w:t xml:space="preserve"> </w:t>
      </w:r>
      <w:r>
        <w:rPr>
          <w:szCs w:val="16"/>
        </w:rPr>
        <w:t xml:space="preserve">or RCW </w:t>
      </w:r>
      <w:hyperlink r:id="rId42" w:history="1">
        <w:r w:rsidRPr="00AF05E7">
          <w:rPr>
            <w:rStyle w:val="Hyperlink"/>
            <w:szCs w:val="16"/>
          </w:rPr>
          <w:t>9A.48.030</w:t>
        </w:r>
      </w:hyperlink>
      <w:r>
        <w:rPr>
          <w:szCs w:val="16"/>
        </w:rPr>
        <w:t>.</w:t>
      </w:r>
    </w:p>
  </w:endnote>
  <w:endnote w:id="25">
    <w:p w14:paraId="7FD2F6C7" w14:textId="30FE83EC" w:rsidR="00EC2B82" w:rsidRPr="003275DD" w:rsidRDefault="00EC2B82">
      <w:pPr>
        <w:pStyle w:val="EndnoteText"/>
        <w:rPr>
          <w:szCs w:val="16"/>
        </w:rPr>
      </w:pPr>
      <w:r w:rsidRPr="003275DD">
        <w:rPr>
          <w:rStyle w:val="EndnoteReference"/>
          <w:szCs w:val="16"/>
        </w:rPr>
        <w:endnoteRef/>
      </w:r>
      <w:r w:rsidRPr="003275DD">
        <w:rPr>
          <w:szCs w:val="16"/>
        </w:rPr>
        <w:t xml:space="preserve"> “Marijuana distribution” refers to behavioral violations that meet the definition of </w:t>
      </w:r>
      <w:r>
        <w:rPr>
          <w:szCs w:val="16"/>
        </w:rPr>
        <w:t>delivery of</w:t>
      </w:r>
      <w:r w:rsidRPr="003275DD">
        <w:rPr>
          <w:szCs w:val="16"/>
        </w:rPr>
        <w:t xml:space="preserve"> marijuana-related controlled substance</w:t>
      </w:r>
      <w:r>
        <w:rPr>
          <w:szCs w:val="16"/>
        </w:rPr>
        <w:t>s</w:t>
      </w:r>
      <w:r w:rsidRPr="003275DD">
        <w:rPr>
          <w:szCs w:val="16"/>
        </w:rPr>
        <w:t xml:space="preserve"> </w:t>
      </w:r>
      <w:r>
        <w:rPr>
          <w:szCs w:val="16"/>
        </w:rPr>
        <w:t>under c</w:t>
      </w:r>
      <w:r w:rsidRPr="003275DD">
        <w:rPr>
          <w:szCs w:val="16"/>
        </w:rPr>
        <w:t xml:space="preserve">hapter </w:t>
      </w:r>
      <w:hyperlink r:id="rId43" w:history="1">
        <w:r w:rsidRPr="003275DD">
          <w:rPr>
            <w:rStyle w:val="Hyperlink"/>
            <w:szCs w:val="16"/>
          </w:rPr>
          <w:t>69.50</w:t>
        </w:r>
      </w:hyperlink>
      <w:r w:rsidRPr="003275DD">
        <w:rPr>
          <w:szCs w:val="16"/>
        </w:rPr>
        <w:t xml:space="preserve"> RCW</w:t>
      </w:r>
      <w:r>
        <w:rPr>
          <w:szCs w:val="16"/>
        </w:rPr>
        <w:t>.</w:t>
      </w:r>
    </w:p>
  </w:endnote>
  <w:endnote w:id="26">
    <w:p w14:paraId="2590238B" w14:textId="35EC78C2" w:rsidR="00EC2B82" w:rsidRPr="003275DD" w:rsidRDefault="00EC2B82">
      <w:pPr>
        <w:pStyle w:val="EndnoteText"/>
        <w:rPr>
          <w:szCs w:val="16"/>
        </w:rPr>
      </w:pPr>
      <w:r w:rsidRPr="003275DD">
        <w:rPr>
          <w:rStyle w:val="EndnoteReference"/>
          <w:szCs w:val="16"/>
        </w:rPr>
        <w:endnoteRef/>
      </w:r>
      <w:r w:rsidRPr="003275DD">
        <w:rPr>
          <w:szCs w:val="16"/>
        </w:rPr>
        <w:t xml:space="preserve"> “Alcohol distribution” refers to behavioral violations </w:t>
      </w:r>
      <w:r>
        <w:rPr>
          <w:szCs w:val="16"/>
        </w:rPr>
        <w:t>involving the transportation, delivery or distribution of alcohol in violation of district policy.</w:t>
      </w:r>
    </w:p>
  </w:endnote>
  <w:endnote w:id="27">
    <w:p w14:paraId="510D2BA8" w14:textId="01190785" w:rsidR="00EC2B82" w:rsidRPr="003275DD" w:rsidRDefault="00EC2B82">
      <w:pPr>
        <w:pStyle w:val="EndnoteText"/>
        <w:rPr>
          <w:szCs w:val="16"/>
        </w:rPr>
      </w:pPr>
      <w:r w:rsidRPr="003275DD">
        <w:rPr>
          <w:rStyle w:val="EndnoteReference"/>
          <w:szCs w:val="16"/>
        </w:rPr>
        <w:endnoteRef/>
      </w:r>
      <w:r w:rsidRPr="003275DD">
        <w:rPr>
          <w:szCs w:val="16"/>
        </w:rPr>
        <w:t xml:space="preserve"> “Gang intimidation or activity” refers to behavioral violations that meet the definition of an offense under RCW </w:t>
      </w:r>
      <w:hyperlink r:id="rId44" w:history="1">
        <w:r w:rsidRPr="003275DD">
          <w:rPr>
            <w:rStyle w:val="Hyperlink"/>
            <w:szCs w:val="16"/>
          </w:rPr>
          <w:t>9A.46.120</w:t>
        </w:r>
      </w:hyperlink>
      <w:r w:rsidRPr="003275DD">
        <w:rPr>
          <w:szCs w:val="16"/>
        </w:rPr>
        <w:t xml:space="preserve"> or RCW </w:t>
      </w:r>
      <w:hyperlink r:id="rId45" w:history="1">
        <w:r w:rsidRPr="003275DD">
          <w:rPr>
            <w:rStyle w:val="Hyperlink"/>
            <w:szCs w:val="16"/>
          </w:rPr>
          <w:t>28A.600.455</w:t>
        </w:r>
      </w:hyperlink>
      <w:r>
        <w:rPr>
          <w:szCs w:val="16"/>
        </w:rPr>
        <w:t>. The district may only consider administering long-term suspension or expulsion in response to two or more behavioral violations within a three-year period.</w:t>
      </w:r>
    </w:p>
  </w:endnote>
  <w:endnote w:id="28">
    <w:p w14:paraId="1E9EB507" w14:textId="5A0405CA" w:rsidR="00EC2B82" w:rsidRPr="003275DD" w:rsidRDefault="00EC2B82">
      <w:pPr>
        <w:pStyle w:val="EndnoteText"/>
        <w:rPr>
          <w:szCs w:val="16"/>
        </w:rPr>
      </w:pPr>
      <w:r w:rsidRPr="003275DD">
        <w:rPr>
          <w:rStyle w:val="EndnoteReference"/>
          <w:szCs w:val="16"/>
        </w:rPr>
        <w:endnoteRef/>
      </w:r>
      <w:r w:rsidRPr="003275DD">
        <w:rPr>
          <w:szCs w:val="16"/>
        </w:rPr>
        <w:t xml:space="preserve"> “Safety – </w:t>
      </w:r>
      <w:r w:rsidRPr="003275DD">
        <w:rPr>
          <w:rFonts w:cs="Times New Roman"/>
          <w:szCs w:val="16"/>
        </w:rPr>
        <w:t>I</w:t>
      </w:r>
      <w:r w:rsidRPr="003275DD">
        <w:rPr>
          <w:szCs w:val="16"/>
        </w:rPr>
        <w:t xml:space="preserve">“ refers to </w:t>
      </w:r>
      <w:bookmarkStart w:id="5" w:name="_Hlk37341250"/>
      <w:r w:rsidRPr="003275DD">
        <w:rPr>
          <w:szCs w:val="16"/>
        </w:rPr>
        <w:t xml:space="preserve">behavioral violations that </w:t>
      </w:r>
      <w:bookmarkEnd w:id="5"/>
      <w:r w:rsidRPr="003275DD">
        <w:rPr>
          <w:szCs w:val="16"/>
        </w:rPr>
        <w:t xml:space="preserve">meet the definition of “Behavior that adversely impacts the health or safety of other students or educational staff” under RCW </w:t>
      </w:r>
      <w:hyperlink r:id="rId46" w:history="1">
        <w:r w:rsidRPr="003275DD">
          <w:rPr>
            <w:rStyle w:val="Hyperlink"/>
            <w:szCs w:val="16"/>
          </w:rPr>
          <w:t>28A.600.015</w:t>
        </w:r>
      </w:hyperlink>
      <w:r w:rsidRPr="003275DD">
        <w:rPr>
          <w:szCs w:val="16"/>
        </w:rPr>
        <w:t xml:space="preserve">(6)(d) and meets the criteria for administering long-term suspension under subsections (a) and (b)(ii) of WAC </w:t>
      </w:r>
      <w:hyperlink r:id="rId47" w:history="1">
        <w:r w:rsidRPr="003275DD">
          <w:rPr>
            <w:rStyle w:val="Hyperlink"/>
            <w:szCs w:val="16"/>
          </w:rPr>
          <w:t>392-400-440</w:t>
        </w:r>
      </w:hyperlink>
      <w:r w:rsidRPr="003275DD">
        <w:rPr>
          <w:szCs w:val="16"/>
        </w:rPr>
        <w:t xml:space="preserve">(2) but that cannot be categorized under any other </w:t>
      </w:r>
      <w:r w:rsidRPr="003275DD">
        <w:rPr>
          <w:i/>
          <w:iCs/>
          <w:szCs w:val="16"/>
        </w:rPr>
        <w:t>Type Four</w:t>
      </w:r>
      <w:r w:rsidRPr="003275DD">
        <w:rPr>
          <w:szCs w:val="16"/>
        </w:rPr>
        <w:t xml:space="preserve"> behavioral violations</w:t>
      </w:r>
      <w:r>
        <w:rPr>
          <w:szCs w:val="16"/>
        </w:rPr>
        <w:t>.</w:t>
      </w:r>
    </w:p>
  </w:endnote>
  <w:endnote w:id="29">
    <w:p w14:paraId="524E9921" w14:textId="700386F8" w:rsidR="00EC2B82" w:rsidRPr="003275DD" w:rsidRDefault="00EC2B82" w:rsidP="00ED3FB1">
      <w:pPr>
        <w:pStyle w:val="EndnoteText"/>
        <w:rPr>
          <w:szCs w:val="16"/>
        </w:rPr>
      </w:pPr>
      <w:r w:rsidRPr="003275DD">
        <w:rPr>
          <w:rStyle w:val="EndnoteReference"/>
          <w:szCs w:val="16"/>
        </w:rPr>
        <w:endnoteRef/>
      </w:r>
      <w:r w:rsidRPr="003275DD">
        <w:rPr>
          <w:szCs w:val="16"/>
        </w:rPr>
        <w:t xml:space="preserve"> “Bullying“ refers to behavioral violations </w:t>
      </w:r>
      <w:r>
        <w:rPr>
          <w:szCs w:val="16"/>
        </w:rPr>
        <w:t xml:space="preserve">constituting intentional, unwanted, aggressive behavior </w:t>
      </w:r>
      <w:r w:rsidRPr="003275DD">
        <w:rPr>
          <w:szCs w:val="16"/>
        </w:rPr>
        <w:t xml:space="preserve">that </w:t>
      </w:r>
      <w:r>
        <w:rPr>
          <w:szCs w:val="16"/>
        </w:rPr>
        <w:t xml:space="preserve">(1) involves a real or perceived power imbalance, and (2) is repeated, or has the potential to be repeated, over time, and (3) meets the criteria </w:t>
      </w:r>
      <w:r w:rsidRPr="003275DD">
        <w:rPr>
          <w:szCs w:val="16"/>
        </w:rPr>
        <w:t xml:space="preserve">under RCW </w:t>
      </w:r>
      <w:hyperlink r:id="rId48" w:history="1">
        <w:r w:rsidRPr="003275DD">
          <w:rPr>
            <w:rStyle w:val="Hyperlink"/>
            <w:szCs w:val="16"/>
          </w:rPr>
          <w:t>28A.600.477</w:t>
        </w:r>
      </w:hyperlink>
      <w:r w:rsidRPr="003275DD">
        <w:rPr>
          <w:szCs w:val="16"/>
        </w:rPr>
        <w:t>(5)(b)(i)</w:t>
      </w:r>
      <w:r>
        <w:rPr>
          <w:szCs w:val="16"/>
        </w:rPr>
        <w:t>—</w:t>
      </w:r>
      <w:r w:rsidRPr="003275DD">
        <w:rPr>
          <w:szCs w:val="16"/>
        </w:rPr>
        <w:t xml:space="preserve">excluding </w:t>
      </w:r>
      <w:r w:rsidRPr="00526385">
        <w:rPr>
          <w:i/>
          <w:iCs/>
          <w:szCs w:val="16"/>
        </w:rPr>
        <w:t>Type Four</w:t>
      </w:r>
      <w:r>
        <w:rPr>
          <w:szCs w:val="16"/>
        </w:rPr>
        <w:t xml:space="preserve"> </w:t>
      </w:r>
      <w:r w:rsidRPr="003275DD">
        <w:rPr>
          <w:szCs w:val="16"/>
        </w:rPr>
        <w:t>behavioral violations</w:t>
      </w:r>
      <w:r>
        <w:rPr>
          <w:szCs w:val="16"/>
        </w:rPr>
        <w:t xml:space="preserve"> </w:t>
      </w:r>
      <w:r w:rsidRPr="003275DD">
        <w:rPr>
          <w:szCs w:val="16"/>
        </w:rPr>
        <w:t>that constitute sexual harassment</w:t>
      </w:r>
      <w:r>
        <w:rPr>
          <w:szCs w:val="16"/>
        </w:rPr>
        <w:t xml:space="preserve">, </w:t>
      </w:r>
      <w:r w:rsidRPr="003275DD">
        <w:rPr>
          <w:szCs w:val="16"/>
        </w:rPr>
        <w:t>discriminatory harassment</w:t>
      </w:r>
      <w:r>
        <w:rPr>
          <w:szCs w:val="16"/>
        </w:rPr>
        <w:t>, and malicious harassment.</w:t>
      </w:r>
    </w:p>
  </w:endnote>
  <w:endnote w:id="30">
    <w:p w14:paraId="26361F33" w14:textId="77777777" w:rsidR="00EC2B82" w:rsidRDefault="00EC2B82" w:rsidP="00ED3FB1">
      <w:pPr>
        <w:pStyle w:val="EndnoteText"/>
      </w:pPr>
      <w:r>
        <w:rPr>
          <w:rStyle w:val="EndnoteReference"/>
        </w:rPr>
        <w:endnoteRef/>
      </w:r>
      <w:r>
        <w:t xml:space="preserve"> “HIB Compliance Officer referral” refers to</w:t>
      </w:r>
      <w:r w:rsidRPr="009116BF">
        <w:rPr>
          <w:rFonts w:asciiTheme="minorHAnsi" w:hAnsiTheme="minorHAnsi"/>
          <w:sz w:val="22"/>
          <w:szCs w:val="22"/>
        </w:rPr>
        <w:t xml:space="preserve"> </w:t>
      </w:r>
      <w:r w:rsidRPr="009116BF">
        <w:t xml:space="preserve">the school district personnel designated </w:t>
      </w:r>
      <w:r>
        <w:t xml:space="preserve">as the primary contact for harassment, intimidation, and bullying (HIB) policies and procedures in accordance with RCW </w:t>
      </w:r>
      <w:hyperlink r:id="rId49" w:history="1">
        <w:r w:rsidRPr="009116BF">
          <w:rPr>
            <w:rStyle w:val="Hyperlink"/>
          </w:rPr>
          <w:t>29A.600.477</w:t>
        </w:r>
      </w:hyperlink>
      <w:r>
        <w:t>—which may coincide with other responses such as a school-based threat assessment referral.</w:t>
      </w:r>
    </w:p>
  </w:endnote>
  <w:endnote w:id="31">
    <w:p w14:paraId="7F753D3B" w14:textId="79E7D139" w:rsidR="00EC2B82" w:rsidRPr="003275DD" w:rsidRDefault="00EC2B82">
      <w:pPr>
        <w:pStyle w:val="EndnoteText"/>
        <w:rPr>
          <w:szCs w:val="16"/>
        </w:rPr>
      </w:pPr>
      <w:r w:rsidRPr="003275DD">
        <w:rPr>
          <w:rStyle w:val="EndnoteReference"/>
          <w:szCs w:val="16"/>
        </w:rPr>
        <w:endnoteRef/>
      </w:r>
      <w:r w:rsidRPr="003275DD">
        <w:rPr>
          <w:szCs w:val="16"/>
        </w:rPr>
        <w:t xml:space="preserve"> “Fighting without major injury” refers to behavioral violations involving mutual participation in physical violence where there is no injury that meets the definition of “substantial bodily harm” or “great bodily harm” under RCW </w:t>
      </w:r>
      <w:hyperlink r:id="rId50" w:history="1">
        <w:r w:rsidRPr="003275DD">
          <w:rPr>
            <w:rStyle w:val="Hyperlink"/>
            <w:szCs w:val="16"/>
          </w:rPr>
          <w:t>9A.04.110</w:t>
        </w:r>
      </w:hyperlink>
      <w:r w:rsidRPr="003275DD">
        <w:rPr>
          <w:szCs w:val="16"/>
        </w:rPr>
        <w:t>(4)</w:t>
      </w:r>
      <w:r>
        <w:rPr>
          <w:szCs w:val="16"/>
        </w:rPr>
        <w:t>.</w:t>
      </w:r>
    </w:p>
  </w:endnote>
  <w:endnote w:id="32">
    <w:p w14:paraId="44218B15" w14:textId="782EE540" w:rsidR="00EC2B82" w:rsidRPr="003275DD" w:rsidRDefault="00EC2B82">
      <w:pPr>
        <w:pStyle w:val="EndnoteText"/>
        <w:rPr>
          <w:szCs w:val="16"/>
        </w:rPr>
      </w:pPr>
      <w:r w:rsidRPr="003275DD">
        <w:rPr>
          <w:rStyle w:val="EndnoteReference"/>
          <w:szCs w:val="16"/>
        </w:rPr>
        <w:endnoteRef/>
      </w:r>
      <w:r w:rsidRPr="003275DD">
        <w:rPr>
          <w:szCs w:val="16"/>
        </w:rPr>
        <w:t xml:space="preserve"> “Illicit drug possession or use” refers to behavioral violations that meet the definition of </w:t>
      </w:r>
      <w:r>
        <w:rPr>
          <w:szCs w:val="16"/>
        </w:rPr>
        <w:t>possession of</w:t>
      </w:r>
      <w:r w:rsidRPr="003275DD">
        <w:rPr>
          <w:szCs w:val="16"/>
        </w:rPr>
        <w:t xml:space="preserve"> controlled substances, excluding marijuana, under Chapter </w:t>
      </w:r>
      <w:hyperlink r:id="rId51" w:history="1">
        <w:r w:rsidRPr="003275DD">
          <w:rPr>
            <w:rStyle w:val="Hyperlink"/>
            <w:szCs w:val="16"/>
          </w:rPr>
          <w:t>69.50</w:t>
        </w:r>
      </w:hyperlink>
      <w:r w:rsidRPr="003275DD">
        <w:rPr>
          <w:szCs w:val="16"/>
        </w:rPr>
        <w:t xml:space="preserve"> RCW</w:t>
      </w:r>
      <w:r>
        <w:rPr>
          <w:szCs w:val="16"/>
        </w:rPr>
        <w:t>.</w:t>
      </w:r>
    </w:p>
  </w:endnote>
  <w:endnote w:id="33">
    <w:p w14:paraId="749D90DC" w14:textId="08852D96" w:rsidR="00EC2B82" w:rsidRPr="003275DD" w:rsidRDefault="00EC2B82">
      <w:pPr>
        <w:pStyle w:val="EndnoteText"/>
        <w:rPr>
          <w:szCs w:val="16"/>
        </w:rPr>
      </w:pPr>
      <w:r w:rsidRPr="003275DD">
        <w:rPr>
          <w:rStyle w:val="EndnoteReference"/>
          <w:szCs w:val="16"/>
        </w:rPr>
        <w:endnoteRef/>
      </w:r>
      <w:r w:rsidRPr="003275DD">
        <w:rPr>
          <w:szCs w:val="16"/>
        </w:rPr>
        <w:t xml:space="preserve"> “Marijuana possession or use” refers to behavioral violations that meet the definition of </w:t>
      </w:r>
      <w:r>
        <w:rPr>
          <w:szCs w:val="16"/>
        </w:rPr>
        <w:t>possession of</w:t>
      </w:r>
      <w:r w:rsidRPr="003275DD">
        <w:rPr>
          <w:szCs w:val="16"/>
        </w:rPr>
        <w:t xml:space="preserve"> marijuana-related controlled substance</w:t>
      </w:r>
      <w:r>
        <w:rPr>
          <w:szCs w:val="16"/>
        </w:rPr>
        <w:t>s</w:t>
      </w:r>
      <w:r w:rsidRPr="003275DD">
        <w:rPr>
          <w:szCs w:val="16"/>
        </w:rPr>
        <w:t xml:space="preserve"> </w:t>
      </w:r>
      <w:r>
        <w:rPr>
          <w:szCs w:val="16"/>
        </w:rPr>
        <w:t>under c</w:t>
      </w:r>
      <w:r w:rsidRPr="003275DD">
        <w:rPr>
          <w:szCs w:val="16"/>
        </w:rPr>
        <w:t xml:space="preserve">hapter </w:t>
      </w:r>
      <w:hyperlink r:id="rId52" w:history="1">
        <w:r w:rsidRPr="003275DD">
          <w:rPr>
            <w:rStyle w:val="Hyperlink"/>
            <w:szCs w:val="16"/>
          </w:rPr>
          <w:t>69.50</w:t>
        </w:r>
      </w:hyperlink>
      <w:r w:rsidRPr="003275DD">
        <w:rPr>
          <w:szCs w:val="16"/>
        </w:rPr>
        <w:t xml:space="preserve"> RCW</w:t>
      </w:r>
      <w:r>
        <w:rPr>
          <w:szCs w:val="16"/>
        </w:rPr>
        <w:t>.</w:t>
      </w:r>
    </w:p>
  </w:endnote>
  <w:endnote w:id="34">
    <w:p w14:paraId="6D3A865A" w14:textId="33352D05" w:rsidR="00EC2B82" w:rsidRPr="003275DD" w:rsidRDefault="00EC2B82">
      <w:pPr>
        <w:pStyle w:val="EndnoteText"/>
        <w:rPr>
          <w:szCs w:val="16"/>
        </w:rPr>
      </w:pPr>
      <w:r w:rsidRPr="003275DD">
        <w:rPr>
          <w:rStyle w:val="EndnoteReference"/>
          <w:szCs w:val="16"/>
        </w:rPr>
        <w:endnoteRef/>
      </w:r>
      <w:r w:rsidRPr="003275DD">
        <w:rPr>
          <w:szCs w:val="16"/>
        </w:rPr>
        <w:t xml:space="preserve"> “Alcohol possession or use” </w:t>
      </w:r>
      <w:bookmarkStart w:id="6" w:name="_Hlk37419168"/>
      <w:r w:rsidRPr="003275DD">
        <w:rPr>
          <w:szCs w:val="16"/>
        </w:rPr>
        <w:t xml:space="preserve">refers to behavioral violations </w:t>
      </w:r>
      <w:bookmarkEnd w:id="6"/>
      <w:r>
        <w:rPr>
          <w:szCs w:val="16"/>
        </w:rPr>
        <w:t>involving the possession or consumption of alcohol in violation of district policy.</w:t>
      </w:r>
    </w:p>
  </w:endnote>
  <w:endnote w:id="35">
    <w:p w14:paraId="2E857CAA" w14:textId="651C51C4" w:rsidR="00EC2B82" w:rsidRPr="003275DD" w:rsidRDefault="00EC2B82">
      <w:pPr>
        <w:pStyle w:val="EndnoteText"/>
        <w:rPr>
          <w:szCs w:val="16"/>
        </w:rPr>
      </w:pPr>
      <w:r w:rsidRPr="003275DD">
        <w:rPr>
          <w:rStyle w:val="EndnoteReference"/>
          <w:szCs w:val="16"/>
        </w:rPr>
        <w:endnoteRef/>
      </w:r>
      <w:r w:rsidRPr="003275DD">
        <w:rPr>
          <w:szCs w:val="16"/>
        </w:rPr>
        <w:t xml:space="preserve"> “Tobacco</w:t>
      </w:r>
      <w:r>
        <w:rPr>
          <w:szCs w:val="16"/>
        </w:rPr>
        <w:t xml:space="preserve"> distribution” refers </w:t>
      </w:r>
      <w:r w:rsidRPr="003275DD">
        <w:rPr>
          <w:szCs w:val="16"/>
        </w:rPr>
        <w:t>to behavioral violations</w:t>
      </w:r>
      <w:r>
        <w:rPr>
          <w:szCs w:val="16"/>
        </w:rPr>
        <w:t xml:space="preserve"> involving the transportation, distribution, or delivery of tobacco products in violation of district policy, including violations of the district’s policy prohibiting the use of tobacco products on school property adopted in accordance with RCW </w:t>
      </w:r>
      <w:hyperlink r:id="rId53" w:history="1">
        <w:r w:rsidRPr="003275DD">
          <w:rPr>
            <w:rStyle w:val="Hyperlink"/>
            <w:szCs w:val="16"/>
          </w:rPr>
          <w:t>28A.210.310</w:t>
        </w:r>
      </w:hyperlink>
      <w:r>
        <w:rPr>
          <w:szCs w:val="16"/>
        </w:rPr>
        <w:t>.</w:t>
      </w:r>
    </w:p>
  </w:endnote>
  <w:endnote w:id="36">
    <w:p w14:paraId="4A738B05" w14:textId="295EFC95" w:rsidR="00EC2B82" w:rsidRDefault="00EC2B82">
      <w:pPr>
        <w:pStyle w:val="EndnoteText"/>
      </w:pPr>
      <w:r>
        <w:rPr>
          <w:rStyle w:val="EndnoteReference"/>
        </w:rPr>
        <w:endnoteRef/>
      </w:r>
      <w:r>
        <w:t xml:space="preserve"> “Theft” refers </w:t>
      </w:r>
      <w:r w:rsidRPr="00386281">
        <w:t xml:space="preserve">to behavioral violations </w:t>
      </w:r>
      <w:r>
        <w:t>involving the taking or knowingly being in possession of stolen district property or property of others without permission in violation of district policy</w:t>
      </w:r>
      <w:r>
        <w:rPr>
          <w:szCs w:val="16"/>
        </w:rPr>
        <w:t>.</w:t>
      </w:r>
    </w:p>
  </w:endnote>
  <w:endnote w:id="37">
    <w:p w14:paraId="2A32192A" w14:textId="00422D87" w:rsidR="00EC2B82" w:rsidRPr="003275DD" w:rsidRDefault="00EC2B82">
      <w:pPr>
        <w:pStyle w:val="EndnoteText"/>
        <w:rPr>
          <w:szCs w:val="16"/>
        </w:rPr>
      </w:pPr>
      <w:r w:rsidRPr="003275DD">
        <w:rPr>
          <w:rStyle w:val="EndnoteReference"/>
          <w:szCs w:val="16"/>
        </w:rPr>
        <w:endnoteRef/>
      </w:r>
      <w:r w:rsidRPr="003275DD">
        <w:rPr>
          <w:szCs w:val="16"/>
        </w:rPr>
        <w:t xml:space="preserve"> “Other – </w:t>
      </w:r>
      <w:r w:rsidRPr="003275DD">
        <w:rPr>
          <w:rFonts w:cs="Times New Roman"/>
          <w:szCs w:val="16"/>
        </w:rPr>
        <w:t>III</w:t>
      </w:r>
      <w:r w:rsidRPr="003275DD">
        <w:rPr>
          <w:szCs w:val="16"/>
        </w:rPr>
        <w:t xml:space="preserve">“ refers to behavioral violations not amounting to a </w:t>
      </w:r>
      <w:r w:rsidRPr="003275DD">
        <w:rPr>
          <w:i/>
          <w:iCs/>
          <w:szCs w:val="16"/>
        </w:rPr>
        <w:t>Type Four</w:t>
      </w:r>
      <w:r w:rsidRPr="003275DD">
        <w:rPr>
          <w:szCs w:val="16"/>
        </w:rPr>
        <w:t xml:space="preserve"> behavioral violation but that cannot be categorized under any other </w:t>
      </w:r>
      <w:r w:rsidRPr="003275DD">
        <w:rPr>
          <w:i/>
          <w:iCs/>
          <w:szCs w:val="16"/>
        </w:rPr>
        <w:t>Type Three</w:t>
      </w:r>
      <w:r w:rsidRPr="003275DD">
        <w:rPr>
          <w:szCs w:val="16"/>
        </w:rPr>
        <w:t xml:space="preserve"> behavioral violations</w:t>
      </w:r>
      <w:r>
        <w:rPr>
          <w:szCs w:val="16"/>
        </w:rPr>
        <w:t>.</w:t>
      </w:r>
      <w:r w:rsidRPr="00B45BF7">
        <w:rPr>
          <w:szCs w:val="16"/>
        </w:rPr>
        <w:t xml:space="preserve"> Districts should make every attempt to develop precise definitions for common behavioral violations to avoid using the vague, subjective, and arbitrary category of “other” within any severity level.</w:t>
      </w:r>
    </w:p>
  </w:endnote>
  <w:endnote w:id="38">
    <w:p w14:paraId="61C26963" w14:textId="0FD7DAE0" w:rsidR="00EC2B82" w:rsidRPr="003275DD" w:rsidRDefault="00EC2B82">
      <w:pPr>
        <w:pStyle w:val="EndnoteText"/>
        <w:rPr>
          <w:szCs w:val="16"/>
        </w:rPr>
      </w:pPr>
      <w:r w:rsidRPr="003275DD">
        <w:rPr>
          <w:rStyle w:val="EndnoteReference"/>
          <w:szCs w:val="16"/>
        </w:rPr>
        <w:endnoteRef/>
      </w:r>
      <w:r w:rsidRPr="003275DD">
        <w:rPr>
          <w:szCs w:val="16"/>
        </w:rPr>
        <w:t xml:space="preserve"> “Destruction of property” refers to behavioral violations </w:t>
      </w:r>
      <w:r w:rsidRPr="00F37685">
        <w:rPr>
          <w:szCs w:val="16"/>
        </w:rPr>
        <w:t xml:space="preserve">involving intentional damage of school property or the property of others that meet the definition of violations under RCW </w:t>
      </w:r>
      <w:hyperlink r:id="rId54" w:history="1">
        <w:r w:rsidRPr="00F37685">
          <w:rPr>
            <w:rStyle w:val="Hyperlink"/>
            <w:szCs w:val="16"/>
          </w:rPr>
          <w:t>28A.635.060</w:t>
        </w:r>
      </w:hyperlink>
      <w:r w:rsidRPr="00F37685">
        <w:rPr>
          <w:szCs w:val="16"/>
        </w:rPr>
        <w:t>. The district may only consider administering long-term suspension or expulsion in response to two or more behavioral violations within a three-year period.</w:t>
      </w:r>
    </w:p>
  </w:endnote>
  <w:endnote w:id="39">
    <w:p w14:paraId="5F678B19" w14:textId="54291402" w:rsidR="00EC2B82" w:rsidRDefault="00EC2B82">
      <w:pPr>
        <w:pStyle w:val="EndnoteText"/>
      </w:pPr>
      <w:r>
        <w:rPr>
          <w:rStyle w:val="EndnoteReference"/>
        </w:rPr>
        <w:endnoteRef/>
      </w:r>
      <w:r>
        <w:t xml:space="preserve"> “Physical aggression” refers to behavioral violations involving a student engaging in physical contact where a minor injury may occur (e.g. hitting, kicking, slapping, hair pulling, scratching, etc.) in violation of district policy.</w:t>
      </w:r>
    </w:p>
  </w:endnote>
  <w:endnote w:id="40">
    <w:p w14:paraId="21808833" w14:textId="4E09417F" w:rsidR="00EC2B82" w:rsidRDefault="00EC2B82">
      <w:pPr>
        <w:pStyle w:val="EndnoteText"/>
      </w:pPr>
      <w:r>
        <w:rPr>
          <w:rStyle w:val="EndnoteReference"/>
        </w:rPr>
        <w:endnoteRef/>
      </w:r>
      <w:r>
        <w:t xml:space="preserve"> </w:t>
      </w:r>
      <w:r w:rsidRPr="008D5CD6">
        <w:t xml:space="preserve">“Tobacco </w:t>
      </w:r>
      <w:r>
        <w:t>possession or use</w:t>
      </w:r>
      <w:r w:rsidRPr="008D5CD6">
        <w:t xml:space="preserve">” refers to behavioral violations </w:t>
      </w:r>
      <w:r>
        <w:t>involving the possession or consumption of tobacco products in violation of district policy, including violations</w:t>
      </w:r>
      <w:r w:rsidRPr="008D5CD6">
        <w:t xml:space="preserve"> of the district’s policy prohibiting the use of tobacco products on school property adopted in accordance with RCW </w:t>
      </w:r>
      <w:hyperlink r:id="rId55" w:history="1">
        <w:r w:rsidRPr="008D5CD6">
          <w:rPr>
            <w:rStyle w:val="Hyperlink"/>
          </w:rPr>
          <w:t>28A.210.310</w:t>
        </w:r>
      </w:hyperlink>
      <w:r>
        <w:rPr>
          <w:szCs w:val="16"/>
        </w:rPr>
        <w:t>.</w:t>
      </w:r>
    </w:p>
  </w:endnote>
  <w:endnote w:id="41">
    <w:p w14:paraId="257FA528" w14:textId="1794159D" w:rsidR="00EC2B82" w:rsidRDefault="00EC2B82">
      <w:pPr>
        <w:pStyle w:val="EndnoteText"/>
      </w:pPr>
      <w:r>
        <w:rPr>
          <w:rStyle w:val="EndnoteReference"/>
        </w:rPr>
        <w:endnoteRef/>
      </w:r>
      <w:r>
        <w:t xml:space="preserve"> “Failure to cooperate” refers to behavioral violations involving repeated failure to comply with or follow </w:t>
      </w:r>
      <w:bookmarkStart w:id="7" w:name="_Hlk57905201"/>
      <w:r>
        <w:t>reasonable and lawful directions or requests by school personnel in violation of district policy.</w:t>
      </w:r>
      <w:bookmarkEnd w:id="7"/>
    </w:p>
  </w:endnote>
  <w:endnote w:id="42">
    <w:p w14:paraId="742CA8E9" w14:textId="7F36841F" w:rsidR="00EC2B82" w:rsidRDefault="00EC2B82">
      <w:pPr>
        <w:pStyle w:val="EndnoteText"/>
      </w:pPr>
      <w:r>
        <w:rPr>
          <w:rStyle w:val="EndnoteReference"/>
        </w:rPr>
        <w:endnoteRef/>
      </w:r>
      <w:r>
        <w:t xml:space="preserve"> “Sexually inappropriate conduct” refers to behavioral violations involving obscene acts or expressions, whether verbal or non-verbal, in violation of district policy.</w:t>
      </w:r>
    </w:p>
  </w:endnote>
  <w:endnote w:id="43">
    <w:p w14:paraId="672DC8CD" w14:textId="6B820BB0" w:rsidR="00EC2B82" w:rsidRDefault="00EC2B82">
      <w:pPr>
        <w:pStyle w:val="EndnoteText"/>
      </w:pPr>
      <w:r>
        <w:rPr>
          <w:rStyle w:val="EndnoteReference"/>
        </w:rPr>
        <w:endnoteRef/>
      </w:r>
      <w:r>
        <w:t xml:space="preserve"> “Disruptive conduct – II” refers to behavioral violations involving actions that materially and substantially interfere with the educational process in violation of district policy.</w:t>
      </w:r>
    </w:p>
  </w:endnote>
  <w:endnote w:id="44">
    <w:p w14:paraId="298D02E4" w14:textId="708F3716" w:rsidR="00EC2B82" w:rsidRPr="003275DD" w:rsidRDefault="00EC2B82">
      <w:pPr>
        <w:pStyle w:val="EndnoteText"/>
        <w:rPr>
          <w:szCs w:val="16"/>
        </w:rPr>
      </w:pPr>
      <w:r w:rsidRPr="003275DD">
        <w:rPr>
          <w:rStyle w:val="EndnoteReference"/>
          <w:szCs w:val="16"/>
        </w:rPr>
        <w:endnoteRef/>
      </w:r>
      <w:r w:rsidRPr="003275DD">
        <w:rPr>
          <w:szCs w:val="16"/>
        </w:rPr>
        <w:t xml:space="preserve"> “Other – </w:t>
      </w:r>
      <w:r w:rsidRPr="003275DD">
        <w:rPr>
          <w:rFonts w:cs="Times New Roman"/>
          <w:szCs w:val="16"/>
        </w:rPr>
        <w:t>II</w:t>
      </w:r>
      <w:r w:rsidRPr="003275DD">
        <w:rPr>
          <w:szCs w:val="16"/>
        </w:rPr>
        <w:t xml:space="preserve">“ refers to behavioral violations not amounting to a </w:t>
      </w:r>
      <w:r w:rsidRPr="003275DD">
        <w:rPr>
          <w:i/>
          <w:iCs/>
          <w:szCs w:val="16"/>
        </w:rPr>
        <w:t>Type Three</w:t>
      </w:r>
      <w:r w:rsidRPr="003275DD">
        <w:rPr>
          <w:szCs w:val="16"/>
        </w:rPr>
        <w:t xml:space="preserve"> behavioral violation but that cannot be categorized under any other </w:t>
      </w:r>
      <w:r w:rsidRPr="003275DD">
        <w:rPr>
          <w:i/>
          <w:iCs/>
          <w:szCs w:val="16"/>
        </w:rPr>
        <w:t>Type Two</w:t>
      </w:r>
      <w:r w:rsidRPr="003275DD">
        <w:rPr>
          <w:szCs w:val="16"/>
        </w:rPr>
        <w:t xml:space="preserve"> behavioral violations</w:t>
      </w:r>
      <w:r>
        <w:rPr>
          <w:szCs w:val="16"/>
        </w:rPr>
        <w:t>.</w:t>
      </w:r>
      <w:r w:rsidRPr="00B45BF7">
        <w:rPr>
          <w:szCs w:val="16"/>
        </w:rPr>
        <w:t xml:space="preserve"> Districts should make every attempt to develop precise definitions for common behavioral violations to avoid using the vague, subjective, and arbitrary category of “other” within any severity level.</w:t>
      </w:r>
    </w:p>
  </w:endnote>
  <w:endnote w:id="45">
    <w:p w14:paraId="66B1A9C6" w14:textId="103E5B8B" w:rsidR="00EC2B82" w:rsidRDefault="00EC2B82">
      <w:pPr>
        <w:pStyle w:val="EndnoteText"/>
      </w:pPr>
      <w:r>
        <w:rPr>
          <w:rStyle w:val="EndnoteReference"/>
        </w:rPr>
        <w:endnoteRef/>
      </w:r>
      <w:r>
        <w:t xml:space="preserve"> “Disruptive conduct – I” refers to behavioral violations involving low-intensity actions that may briefly interrupt learning activities in violation of district policy.</w:t>
      </w:r>
    </w:p>
  </w:endnote>
  <w:endnote w:id="46">
    <w:p w14:paraId="509A3018" w14:textId="2F3B7DED" w:rsidR="00EC2B82" w:rsidRDefault="00EC2B82">
      <w:pPr>
        <w:pStyle w:val="EndnoteText"/>
      </w:pPr>
      <w:r>
        <w:rPr>
          <w:rStyle w:val="EndnoteReference"/>
        </w:rPr>
        <w:endnoteRef/>
      </w:r>
      <w:r>
        <w:t xml:space="preserve"> </w:t>
      </w:r>
      <w:r w:rsidRPr="00BD7508">
        <w:t>“Dress code” refers to behavioral violations involving a student wearing clothing that is not within the dress code guidelines defined by the district.</w:t>
      </w:r>
      <w:r>
        <w:t xml:space="preserve"> </w:t>
      </w:r>
      <w:r w:rsidRPr="001C1F9C">
        <w:t xml:space="preserve">Dress code and grooming policies may not discriminate on the basis of a protected class under chapters </w:t>
      </w:r>
      <w:hyperlink r:id="rId56" w:history="1">
        <w:r w:rsidRPr="001C1F9C">
          <w:rPr>
            <w:rStyle w:val="Hyperlink"/>
          </w:rPr>
          <w:t>28A.640</w:t>
        </w:r>
      </w:hyperlink>
      <w:r w:rsidRPr="001C1F9C">
        <w:t xml:space="preserve"> or </w:t>
      </w:r>
      <w:hyperlink r:id="rId57" w:history="1">
        <w:r w:rsidRPr="001C1F9C">
          <w:rPr>
            <w:rStyle w:val="Hyperlink"/>
          </w:rPr>
          <w:t>28A.642</w:t>
        </w:r>
      </w:hyperlink>
      <w:r w:rsidRPr="001C1F9C">
        <w:t xml:space="preserve"> RCW, including sex, race, color, religion, creed, national origin, sexual orientation, gender identity, gender expression, and disability. Dress codes and grooming policies should be based on educationally relevant considerations, apply consistently to all students, include consistent discipline for violations, and make reasonable accommodations when the situation requires an exception. Dress codes should be gender neutral to avoid discrimination on the basis of sex, gender identity, or gender expression. A school district may not discriminate against students who have hairstyles or hair texture that is historically associated or perceived to be associated with race, including “protective hairstyles” such as afros, braids, locks, and twists.</w:t>
      </w:r>
    </w:p>
  </w:endnote>
  <w:endnote w:id="47">
    <w:p w14:paraId="77EF3D52" w14:textId="5E1FBB45" w:rsidR="00EC2B82" w:rsidRDefault="00EC2B82">
      <w:pPr>
        <w:pStyle w:val="EndnoteText"/>
      </w:pPr>
      <w:r>
        <w:rPr>
          <w:rStyle w:val="EndnoteReference"/>
        </w:rPr>
        <w:endnoteRef/>
      </w:r>
      <w:r>
        <w:t xml:space="preserve"> “Physical contact” refers to behavioral violations involving innocuous and non-threatening but inappropriate physical conduct in violation of district policy.</w:t>
      </w:r>
    </w:p>
  </w:endnote>
  <w:endnote w:id="48">
    <w:p w14:paraId="37D26697" w14:textId="0485D53A" w:rsidR="00EC2B82" w:rsidRDefault="00EC2B82">
      <w:pPr>
        <w:pStyle w:val="EndnoteText"/>
      </w:pPr>
      <w:r>
        <w:rPr>
          <w:rStyle w:val="EndnoteReference"/>
        </w:rPr>
        <w:endnoteRef/>
      </w:r>
      <w:r>
        <w:t xml:space="preserve"> “Defiance” refers to behavioral violations involving brief or harmless failure to follow </w:t>
      </w:r>
      <w:r w:rsidRPr="003D6561">
        <w:t>reasonable and lawful directions or requests by school personnel in violation of district policy.</w:t>
      </w:r>
    </w:p>
  </w:endnote>
  <w:endnote w:id="49">
    <w:p w14:paraId="4F07F17B" w14:textId="67CA9478" w:rsidR="00EC2B82" w:rsidRDefault="00EC2B82">
      <w:pPr>
        <w:pStyle w:val="EndnoteText"/>
      </w:pPr>
      <w:r>
        <w:rPr>
          <w:rStyle w:val="EndnoteReference"/>
        </w:rPr>
        <w:endnoteRef/>
      </w:r>
      <w:r>
        <w:t xml:space="preserve"> “Disrespect” refers to behavioral violations involving minor dismissive or rude acts or expressions, whether verbal or nonverbal, in violation of district policy.</w:t>
      </w:r>
    </w:p>
  </w:endnote>
  <w:endnote w:id="50">
    <w:p w14:paraId="20BD3B01" w14:textId="60B8C0B2" w:rsidR="00EC2B82" w:rsidRDefault="00EC2B82">
      <w:pPr>
        <w:pStyle w:val="EndnoteText"/>
      </w:pPr>
      <w:r>
        <w:rPr>
          <w:rStyle w:val="EndnoteReference"/>
        </w:rPr>
        <w:endnoteRef/>
      </w:r>
      <w:r>
        <w:t xml:space="preserve"> “Academic dishonesty/plagiarism” refers to behavioral violations involving knowingly submitting the work of others as one’s own or assisting another student in doing so or using unauthorized sources in violation of district policy.</w:t>
      </w:r>
    </w:p>
  </w:endnote>
  <w:endnote w:id="51">
    <w:p w14:paraId="71CBFF61" w14:textId="2B415A86" w:rsidR="00EC2B82" w:rsidRDefault="00EC2B82">
      <w:pPr>
        <w:pStyle w:val="EndnoteText"/>
      </w:pPr>
      <w:r>
        <w:rPr>
          <w:rStyle w:val="EndnoteReference"/>
        </w:rPr>
        <w:endnoteRef/>
      </w:r>
      <w:r>
        <w:t xml:space="preserve"> “Property misuse” refers to behavioral violations involving brief or low-intensity misuse of district property or property of others in violation of district policy.</w:t>
      </w:r>
    </w:p>
  </w:endnote>
  <w:endnote w:id="52">
    <w:p w14:paraId="62AC511E" w14:textId="78AE8183" w:rsidR="00EC2B82" w:rsidRDefault="00EC2B82">
      <w:pPr>
        <w:pStyle w:val="EndnoteText"/>
      </w:pPr>
      <w:r>
        <w:rPr>
          <w:rStyle w:val="EndnoteReference"/>
        </w:rPr>
        <w:endnoteRef/>
      </w:r>
      <w:r>
        <w:t xml:space="preserve"> “Inappropriate language” refers to behavioral violations involving non-threatening or unintentional use of inappropriate language in violation of district policy.</w:t>
      </w:r>
    </w:p>
  </w:endnote>
  <w:endnote w:id="53">
    <w:p w14:paraId="2306DFF0" w14:textId="73643F3C" w:rsidR="00EC2B82" w:rsidRPr="0025109A" w:rsidRDefault="00EC2B82">
      <w:pPr>
        <w:pStyle w:val="EndnoteText"/>
        <w:rPr>
          <w:szCs w:val="16"/>
        </w:rPr>
      </w:pPr>
      <w:r w:rsidRPr="003275DD">
        <w:rPr>
          <w:rStyle w:val="EndnoteReference"/>
          <w:szCs w:val="16"/>
        </w:rPr>
        <w:endnoteRef/>
      </w:r>
      <w:r w:rsidRPr="003275DD">
        <w:rPr>
          <w:szCs w:val="16"/>
        </w:rPr>
        <w:t xml:space="preserve"> “Other – </w:t>
      </w:r>
      <w:r w:rsidRPr="003275DD">
        <w:rPr>
          <w:rFonts w:cs="Times New Roman"/>
          <w:szCs w:val="16"/>
        </w:rPr>
        <w:t>I</w:t>
      </w:r>
      <w:r w:rsidRPr="003275DD">
        <w:rPr>
          <w:szCs w:val="16"/>
        </w:rPr>
        <w:t xml:space="preserve">“ refers to behavioral violations not amounting to a </w:t>
      </w:r>
      <w:r w:rsidRPr="003275DD">
        <w:rPr>
          <w:i/>
          <w:iCs/>
          <w:szCs w:val="16"/>
        </w:rPr>
        <w:t>Type Two</w:t>
      </w:r>
      <w:r w:rsidRPr="003275DD">
        <w:rPr>
          <w:szCs w:val="16"/>
        </w:rPr>
        <w:t xml:space="preserve"> behavioral violation but that cannot be categorized under any other </w:t>
      </w:r>
      <w:r w:rsidRPr="003275DD">
        <w:rPr>
          <w:i/>
          <w:iCs/>
          <w:szCs w:val="16"/>
        </w:rPr>
        <w:t>Type One</w:t>
      </w:r>
      <w:r w:rsidRPr="003275DD">
        <w:rPr>
          <w:szCs w:val="16"/>
        </w:rPr>
        <w:t xml:space="preserve"> behavioral violations</w:t>
      </w:r>
      <w:r>
        <w:rPr>
          <w:szCs w:val="16"/>
        </w:rPr>
        <w:t>. Districts should make every attempt to develop precise definitions for common behavioral violations to avoid using the vague, subjective, and arbitrary category of “other” within any severity level.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w:altName w:val="MS Reference Sans Serif"/>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2EB8" w14:textId="77777777" w:rsidR="000C7B7B" w:rsidRDefault="000C7B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804BF" w14:textId="77777777" w:rsidR="000C7B7B" w:rsidRDefault="000C7B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D162" w14:textId="77777777" w:rsidR="000C7B7B" w:rsidRDefault="000C7B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D81FF" w14:textId="77777777" w:rsidR="00094D43" w:rsidRDefault="00094D43" w:rsidP="00351100">
      <w:pPr>
        <w:spacing w:after="0" w:line="240" w:lineRule="auto"/>
      </w:pPr>
      <w:r>
        <w:separator/>
      </w:r>
    </w:p>
  </w:footnote>
  <w:footnote w:type="continuationSeparator" w:id="0">
    <w:p w14:paraId="5331D2A9" w14:textId="77777777" w:rsidR="00094D43" w:rsidRDefault="00094D43" w:rsidP="00351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C897F" w14:textId="77777777" w:rsidR="000C7B7B" w:rsidRDefault="000C7B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F3E8" w14:textId="0A4EC8B5" w:rsidR="000C7B7B" w:rsidRDefault="000C7B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F596B" w14:textId="77777777" w:rsidR="000C7B7B" w:rsidRDefault="000C7B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40C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465E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97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603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D82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B824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07D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4E8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E6F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BE9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B33872"/>
    <w:multiLevelType w:val="hybridMultilevel"/>
    <w:tmpl w:val="65004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7C"/>
    <w:rsid w:val="00005F0F"/>
    <w:rsid w:val="00014C62"/>
    <w:rsid w:val="000357FC"/>
    <w:rsid w:val="000534F3"/>
    <w:rsid w:val="00057C9B"/>
    <w:rsid w:val="00081ED4"/>
    <w:rsid w:val="000827EC"/>
    <w:rsid w:val="00084B06"/>
    <w:rsid w:val="00090EAC"/>
    <w:rsid w:val="00094C3A"/>
    <w:rsid w:val="00094D43"/>
    <w:rsid w:val="000B7B82"/>
    <w:rsid w:val="000C7B7B"/>
    <w:rsid w:val="000D20FA"/>
    <w:rsid w:val="000E3EF0"/>
    <w:rsid w:val="000F1A74"/>
    <w:rsid w:val="00113E38"/>
    <w:rsid w:val="00124AD7"/>
    <w:rsid w:val="00133DF2"/>
    <w:rsid w:val="00137ED3"/>
    <w:rsid w:val="00150E49"/>
    <w:rsid w:val="0018498A"/>
    <w:rsid w:val="00193E5A"/>
    <w:rsid w:val="001C0BD5"/>
    <w:rsid w:val="001C1F9C"/>
    <w:rsid w:val="001C492D"/>
    <w:rsid w:val="001E7288"/>
    <w:rsid w:val="001E7633"/>
    <w:rsid w:val="001E7685"/>
    <w:rsid w:val="001F5FEF"/>
    <w:rsid w:val="00203213"/>
    <w:rsid w:val="00211AD8"/>
    <w:rsid w:val="00222F80"/>
    <w:rsid w:val="002263A6"/>
    <w:rsid w:val="00226EB8"/>
    <w:rsid w:val="00234562"/>
    <w:rsid w:val="00244984"/>
    <w:rsid w:val="00245DFA"/>
    <w:rsid w:val="002471A1"/>
    <w:rsid w:val="00247905"/>
    <w:rsid w:val="0025109A"/>
    <w:rsid w:val="00262746"/>
    <w:rsid w:val="00273220"/>
    <w:rsid w:val="002924FE"/>
    <w:rsid w:val="00293C23"/>
    <w:rsid w:val="002941EB"/>
    <w:rsid w:val="002A78A5"/>
    <w:rsid w:val="002B27C1"/>
    <w:rsid w:val="002B4298"/>
    <w:rsid w:val="002B5B43"/>
    <w:rsid w:val="002E7F6D"/>
    <w:rsid w:val="002F6FA8"/>
    <w:rsid w:val="002F7002"/>
    <w:rsid w:val="00300422"/>
    <w:rsid w:val="00305976"/>
    <w:rsid w:val="00306A57"/>
    <w:rsid w:val="003275DD"/>
    <w:rsid w:val="00344847"/>
    <w:rsid w:val="00346F12"/>
    <w:rsid w:val="00347F98"/>
    <w:rsid w:val="00351100"/>
    <w:rsid w:val="00372771"/>
    <w:rsid w:val="00386281"/>
    <w:rsid w:val="00390A9A"/>
    <w:rsid w:val="00393448"/>
    <w:rsid w:val="00393904"/>
    <w:rsid w:val="003940B3"/>
    <w:rsid w:val="003C7F1F"/>
    <w:rsid w:val="003D6561"/>
    <w:rsid w:val="003D764C"/>
    <w:rsid w:val="00402C96"/>
    <w:rsid w:val="00415C11"/>
    <w:rsid w:val="00417ECA"/>
    <w:rsid w:val="00420166"/>
    <w:rsid w:val="0042448A"/>
    <w:rsid w:val="0045253F"/>
    <w:rsid w:val="00477650"/>
    <w:rsid w:val="00481D99"/>
    <w:rsid w:val="00484826"/>
    <w:rsid w:val="00484A15"/>
    <w:rsid w:val="00487EEB"/>
    <w:rsid w:val="0049239A"/>
    <w:rsid w:val="00497D4E"/>
    <w:rsid w:val="004D07F2"/>
    <w:rsid w:val="004D1216"/>
    <w:rsid w:val="004E14A1"/>
    <w:rsid w:val="00500233"/>
    <w:rsid w:val="00513796"/>
    <w:rsid w:val="00514741"/>
    <w:rsid w:val="00526385"/>
    <w:rsid w:val="00541DD6"/>
    <w:rsid w:val="0054470C"/>
    <w:rsid w:val="00567D68"/>
    <w:rsid w:val="00571E30"/>
    <w:rsid w:val="00575B6B"/>
    <w:rsid w:val="00597159"/>
    <w:rsid w:val="005E3C44"/>
    <w:rsid w:val="005E646B"/>
    <w:rsid w:val="006003E3"/>
    <w:rsid w:val="00605275"/>
    <w:rsid w:val="00620987"/>
    <w:rsid w:val="00621039"/>
    <w:rsid w:val="00633DB9"/>
    <w:rsid w:val="006350D5"/>
    <w:rsid w:val="00653F26"/>
    <w:rsid w:val="006706F7"/>
    <w:rsid w:val="006B116C"/>
    <w:rsid w:val="006D40B4"/>
    <w:rsid w:val="006D6D10"/>
    <w:rsid w:val="006F4E0E"/>
    <w:rsid w:val="00726E26"/>
    <w:rsid w:val="0072712D"/>
    <w:rsid w:val="00732538"/>
    <w:rsid w:val="0077546E"/>
    <w:rsid w:val="00780F17"/>
    <w:rsid w:val="007A5FF4"/>
    <w:rsid w:val="007B6EE9"/>
    <w:rsid w:val="007C1D06"/>
    <w:rsid w:val="007C4D06"/>
    <w:rsid w:val="008036BB"/>
    <w:rsid w:val="008138E9"/>
    <w:rsid w:val="00824D19"/>
    <w:rsid w:val="008349F4"/>
    <w:rsid w:val="00894AAA"/>
    <w:rsid w:val="0089772B"/>
    <w:rsid w:val="008A3E12"/>
    <w:rsid w:val="008D5CD6"/>
    <w:rsid w:val="008E0974"/>
    <w:rsid w:val="008E2E16"/>
    <w:rsid w:val="008E3CDE"/>
    <w:rsid w:val="008E5507"/>
    <w:rsid w:val="0090061F"/>
    <w:rsid w:val="009116BF"/>
    <w:rsid w:val="00926337"/>
    <w:rsid w:val="0096042B"/>
    <w:rsid w:val="009A121D"/>
    <w:rsid w:val="009A4F86"/>
    <w:rsid w:val="009A55A3"/>
    <w:rsid w:val="009D12B8"/>
    <w:rsid w:val="009E50BA"/>
    <w:rsid w:val="009F0E03"/>
    <w:rsid w:val="00A24122"/>
    <w:rsid w:val="00A2527C"/>
    <w:rsid w:val="00A3124A"/>
    <w:rsid w:val="00A3177D"/>
    <w:rsid w:val="00A36DB8"/>
    <w:rsid w:val="00A37924"/>
    <w:rsid w:val="00A37F81"/>
    <w:rsid w:val="00A4445B"/>
    <w:rsid w:val="00A504CA"/>
    <w:rsid w:val="00A56FA0"/>
    <w:rsid w:val="00A61D11"/>
    <w:rsid w:val="00A67EBB"/>
    <w:rsid w:val="00A7083B"/>
    <w:rsid w:val="00A77A04"/>
    <w:rsid w:val="00A86CC0"/>
    <w:rsid w:val="00AA1AE5"/>
    <w:rsid w:val="00AA6946"/>
    <w:rsid w:val="00AD21E6"/>
    <w:rsid w:val="00AD75A6"/>
    <w:rsid w:val="00AE0224"/>
    <w:rsid w:val="00AF05E7"/>
    <w:rsid w:val="00AF64CD"/>
    <w:rsid w:val="00AF76AA"/>
    <w:rsid w:val="00B32486"/>
    <w:rsid w:val="00B33688"/>
    <w:rsid w:val="00B353A2"/>
    <w:rsid w:val="00B43858"/>
    <w:rsid w:val="00B45BF7"/>
    <w:rsid w:val="00B60AE2"/>
    <w:rsid w:val="00B66807"/>
    <w:rsid w:val="00BA54AE"/>
    <w:rsid w:val="00BA6DEA"/>
    <w:rsid w:val="00BD7508"/>
    <w:rsid w:val="00BE00A1"/>
    <w:rsid w:val="00BF163C"/>
    <w:rsid w:val="00BF260E"/>
    <w:rsid w:val="00C0217B"/>
    <w:rsid w:val="00C24304"/>
    <w:rsid w:val="00C262FF"/>
    <w:rsid w:val="00C40746"/>
    <w:rsid w:val="00C40A38"/>
    <w:rsid w:val="00CB42C1"/>
    <w:rsid w:val="00CC4F68"/>
    <w:rsid w:val="00CE03E3"/>
    <w:rsid w:val="00D00210"/>
    <w:rsid w:val="00D05AA0"/>
    <w:rsid w:val="00D32051"/>
    <w:rsid w:val="00D415AB"/>
    <w:rsid w:val="00D50B6C"/>
    <w:rsid w:val="00D514AD"/>
    <w:rsid w:val="00D80538"/>
    <w:rsid w:val="00D84A08"/>
    <w:rsid w:val="00D871A1"/>
    <w:rsid w:val="00D9068C"/>
    <w:rsid w:val="00DA5441"/>
    <w:rsid w:val="00DB4A1C"/>
    <w:rsid w:val="00DB7F9B"/>
    <w:rsid w:val="00DC6F7B"/>
    <w:rsid w:val="00DF17E9"/>
    <w:rsid w:val="00DF226B"/>
    <w:rsid w:val="00DF7F21"/>
    <w:rsid w:val="00E15D0C"/>
    <w:rsid w:val="00E256AA"/>
    <w:rsid w:val="00E4159E"/>
    <w:rsid w:val="00E432B4"/>
    <w:rsid w:val="00E666E4"/>
    <w:rsid w:val="00E908AF"/>
    <w:rsid w:val="00EA0D15"/>
    <w:rsid w:val="00EA4D62"/>
    <w:rsid w:val="00EA4FD6"/>
    <w:rsid w:val="00EB28A3"/>
    <w:rsid w:val="00EB2AE4"/>
    <w:rsid w:val="00EB34F1"/>
    <w:rsid w:val="00EB59CD"/>
    <w:rsid w:val="00EC2B82"/>
    <w:rsid w:val="00ED3FB1"/>
    <w:rsid w:val="00EE2114"/>
    <w:rsid w:val="00EE3967"/>
    <w:rsid w:val="00EE3C93"/>
    <w:rsid w:val="00EF0682"/>
    <w:rsid w:val="00F10533"/>
    <w:rsid w:val="00F37685"/>
    <w:rsid w:val="00F42BAC"/>
    <w:rsid w:val="00F6492D"/>
    <w:rsid w:val="00F97A7E"/>
    <w:rsid w:val="00FA0F0E"/>
    <w:rsid w:val="00FB2113"/>
    <w:rsid w:val="00FC77A5"/>
    <w:rsid w:val="00FD64CF"/>
    <w:rsid w:val="00FE3431"/>
    <w:rsid w:val="00FE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2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688"/>
    <w:rPr>
      <w:rFonts w:ascii="Segoe UI" w:hAnsi="Segoe UI" w:cs="Segoe UI"/>
      <w:sz w:val="18"/>
      <w:szCs w:val="18"/>
    </w:rPr>
  </w:style>
  <w:style w:type="paragraph" w:styleId="ListParagraph">
    <w:name w:val="List Paragraph"/>
    <w:basedOn w:val="Normal"/>
    <w:uiPriority w:val="34"/>
    <w:qFormat/>
    <w:rsid w:val="00E908AF"/>
    <w:pPr>
      <w:ind w:left="720"/>
      <w:contextualSpacing/>
    </w:pPr>
  </w:style>
  <w:style w:type="paragraph" w:styleId="FootnoteText">
    <w:name w:val="footnote text"/>
    <w:basedOn w:val="Normal"/>
    <w:link w:val="FootnoteTextChar"/>
    <w:uiPriority w:val="99"/>
    <w:unhideWhenUsed/>
    <w:rsid w:val="006D6D10"/>
    <w:pPr>
      <w:spacing w:after="0" w:line="240" w:lineRule="auto"/>
    </w:pPr>
    <w:rPr>
      <w:rFonts w:ascii="Verdana" w:hAnsi="Verdana"/>
      <w:sz w:val="16"/>
      <w:szCs w:val="20"/>
    </w:rPr>
  </w:style>
  <w:style w:type="character" w:customStyle="1" w:styleId="FootnoteTextChar">
    <w:name w:val="Footnote Text Char"/>
    <w:basedOn w:val="DefaultParagraphFont"/>
    <w:link w:val="FootnoteText"/>
    <w:uiPriority w:val="99"/>
    <w:rsid w:val="006D6D10"/>
    <w:rPr>
      <w:rFonts w:ascii="Verdana" w:hAnsi="Verdana"/>
      <w:sz w:val="16"/>
      <w:szCs w:val="20"/>
    </w:rPr>
  </w:style>
  <w:style w:type="character" w:styleId="FootnoteReference">
    <w:name w:val="footnote reference"/>
    <w:basedOn w:val="DefaultParagraphFont"/>
    <w:uiPriority w:val="99"/>
    <w:unhideWhenUsed/>
    <w:rsid w:val="006D6D10"/>
    <w:rPr>
      <w:sz w:val="16"/>
      <w:vertAlign w:val="superscript"/>
    </w:rPr>
  </w:style>
  <w:style w:type="character" w:styleId="Hyperlink">
    <w:name w:val="Hyperlink"/>
    <w:basedOn w:val="DefaultParagraphFont"/>
    <w:uiPriority w:val="99"/>
    <w:unhideWhenUsed/>
    <w:rsid w:val="00351100"/>
    <w:rPr>
      <w:color w:val="0563C1" w:themeColor="hyperlink"/>
      <w:u w:val="single"/>
    </w:rPr>
  </w:style>
  <w:style w:type="character" w:customStyle="1" w:styleId="UnresolvedMention">
    <w:name w:val="Unresolved Mention"/>
    <w:basedOn w:val="DefaultParagraphFont"/>
    <w:uiPriority w:val="99"/>
    <w:semiHidden/>
    <w:unhideWhenUsed/>
    <w:rsid w:val="00351100"/>
    <w:rPr>
      <w:color w:val="605E5C"/>
      <w:shd w:val="clear" w:color="auto" w:fill="E1DFDD"/>
    </w:rPr>
  </w:style>
  <w:style w:type="character" w:styleId="CommentReference">
    <w:name w:val="annotation reference"/>
    <w:basedOn w:val="DefaultParagraphFont"/>
    <w:uiPriority w:val="99"/>
    <w:semiHidden/>
    <w:unhideWhenUsed/>
    <w:rsid w:val="00621039"/>
    <w:rPr>
      <w:sz w:val="16"/>
      <w:szCs w:val="16"/>
    </w:rPr>
  </w:style>
  <w:style w:type="paragraph" w:styleId="CommentText">
    <w:name w:val="annotation text"/>
    <w:basedOn w:val="Normal"/>
    <w:link w:val="CommentTextChar"/>
    <w:uiPriority w:val="99"/>
    <w:semiHidden/>
    <w:unhideWhenUsed/>
    <w:rsid w:val="00621039"/>
    <w:pPr>
      <w:spacing w:line="240" w:lineRule="auto"/>
    </w:pPr>
    <w:rPr>
      <w:sz w:val="20"/>
      <w:szCs w:val="20"/>
    </w:rPr>
  </w:style>
  <w:style w:type="character" w:customStyle="1" w:styleId="CommentTextChar">
    <w:name w:val="Comment Text Char"/>
    <w:basedOn w:val="DefaultParagraphFont"/>
    <w:link w:val="CommentText"/>
    <w:uiPriority w:val="99"/>
    <w:semiHidden/>
    <w:rsid w:val="00621039"/>
    <w:rPr>
      <w:sz w:val="20"/>
      <w:szCs w:val="20"/>
    </w:rPr>
  </w:style>
  <w:style w:type="paragraph" w:styleId="CommentSubject">
    <w:name w:val="annotation subject"/>
    <w:basedOn w:val="CommentText"/>
    <w:next w:val="CommentText"/>
    <w:link w:val="CommentSubjectChar"/>
    <w:uiPriority w:val="99"/>
    <w:semiHidden/>
    <w:unhideWhenUsed/>
    <w:rsid w:val="00621039"/>
    <w:rPr>
      <w:b/>
      <w:bCs/>
    </w:rPr>
  </w:style>
  <w:style w:type="character" w:customStyle="1" w:styleId="CommentSubjectChar">
    <w:name w:val="Comment Subject Char"/>
    <w:basedOn w:val="CommentTextChar"/>
    <w:link w:val="CommentSubject"/>
    <w:uiPriority w:val="99"/>
    <w:semiHidden/>
    <w:rsid w:val="00621039"/>
    <w:rPr>
      <w:b/>
      <w:bCs/>
      <w:sz w:val="20"/>
      <w:szCs w:val="20"/>
    </w:rPr>
  </w:style>
  <w:style w:type="paragraph" w:styleId="EndnoteText">
    <w:name w:val="endnote text"/>
    <w:basedOn w:val="Normal"/>
    <w:link w:val="EndnoteTextChar"/>
    <w:uiPriority w:val="99"/>
    <w:unhideWhenUsed/>
    <w:rsid w:val="003275DD"/>
    <w:pPr>
      <w:spacing w:after="0" w:line="240" w:lineRule="auto"/>
    </w:pPr>
    <w:rPr>
      <w:rFonts w:ascii="Verdana" w:hAnsi="Verdana"/>
      <w:sz w:val="16"/>
      <w:szCs w:val="20"/>
    </w:rPr>
  </w:style>
  <w:style w:type="character" w:customStyle="1" w:styleId="EndnoteTextChar">
    <w:name w:val="Endnote Text Char"/>
    <w:basedOn w:val="DefaultParagraphFont"/>
    <w:link w:val="EndnoteText"/>
    <w:uiPriority w:val="99"/>
    <w:rsid w:val="003275DD"/>
    <w:rPr>
      <w:rFonts w:ascii="Verdana" w:hAnsi="Verdana"/>
      <w:sz w:val="16"/>
      <w:szCs w:val="20"/>
    </w:rPr>
  </w:style>
  <w:style w:type="character" w:styleId="EndnoteReference">
    <w:name w:val="endnote reference"/>
    <w:basedOn w:val="DefaultParagraphFont"/>
    <w:uiPriority w:val="99"/>
    <w:unhideWhenUsed/>
    <w:rsid w:val="003275DD"/>
    <w:rPr>
      <w:rFonts w:ascii="Verdana" w:hAnsi="Verdana"/>
      <w:sz w:val="16"/>
      <w:vertAlign w:val="superscript"/>
    </w:rPr>
  </w:style>
  <w:style w:type="character" w:styleId="FollowedHyperlink">
    <w:name w:val="FollowedHyperlink"/>
    <w:basedOn w:val="DefaultParagraphFont"/>
    <w:uiPriority w:val="99"/>
    <w:semiHidden/>
    <w:unhideWhenUsed/>
    <w:rsid w:val="00090EAC"/>
    <w:rPr>
      <w:color w:val="954F72" w:themeColor="followedHyperlink"/>
      <w:u w:val="single"/>
    </w:rPr>
  </w:style>
  <w:style w:type="paragraph" w:styleId="Header">
    <w:name w:val="header"/>
    <w:basedOn w:val="Normal"/>
    <w:link w:val="HeaderChar"/>
    <w:uiPriority w:val="99"/>
    <w:unhideWhenUsed/>
    <w:rsid w:val="0001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62"/>
  </w:style>
  <w:style w:type="paragraph" w:styleId="Footer">
    <w:name w:val="footer"/>
    <w:basedOn w:val="Normal"/>
    <w:link w:val="FooterChar"/>
    <w:uiPriority w:val="99"/>
    <w:unhideWhenUsed/>
    <w:rsid w:val="0001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app.leg.wa.gov/RCW/default.aspx?cite=9A.36.011" TargetMode="External"/><Relationship Id="rId18" Type="http://schemas.openxmlformats.org/officeDocument/2006/relationships/hyperlink" Target="http://apps.leg.wa.gov/rcw/default.aspx?cite=28A.640" TargetMode="External"/><Relationship Id="rId26" Type="http://schemas.openxmlformats.org/officeDocument/2006/relationships/hyperlink" Target="http://app.leg.wa.gov/RCW/default.aspx?cite=28A.600.460" TargetMode="External"/><Relationship Id="rId39" Type="http://schemas.openxmlformats.org/officeDocument/2006/relationships/hyperlink" Target="http://apps.leg.wa.gov/wac/default.aspx?cite=392-190" TargetMode="External"/><Relationship Id="rId21" Type="http://schemas.openxmlformats.org/officeDocument/2006/relationships/hyperlink" Target="https://app.leg.wa.gov/RCW/default.aspx?cite=9.41.280" TargetMode="External"/><Relationship Id="rId34" Type="http://schemas.openxmlformats.org/officeDocument/2006/relationships/hyperlink" Target="https://apps.leg.wa.gov/WAC/default.aspx?cite=392-172A-05149" TargetMode="External"/><Relationship Id="rId42" Type="http://schemas.openxmlformats.org/officeDocument/2006/relationships/hyperlink" Target="https://app.leg.wa.gov/RCW/default.aspx?cite=9A.48.030" TargetMode="External"/><Relationship Id="rId47" Type="http://schemas.openxmlformats.org/officeDocument/2006/relationships/hyperlink" Target="https://apps.leg.wa.gov/wac/default.aspx?cite=392-400-440" TargetMode="External"/><Relationship Id="rId50" Type="http://schemas.openxmlformats.org/officeDocument/2006/relationships/hyperlink" Target="https://apps.leg.wa.gov/RCW/default.aspx?cite=9A.04.110" TargetMode="External"/><Relationship Id="rId55" Type="http://schemas.openxmlformats.org/officeDocument/2006/relationships/hyperlink" Target="https://apps.leg.wa.gov/rcw/default.aspx?cite=28A.210.310" TargetMode="External"/><Relationship Id="rId7" Type="http://schemas.openxmlformats.org/officeDocument/2006/relationships/hyperlink" Target="https://apps.leg.wa.gov/wac/default.aspx?cite=392-400-110" TargetMode="External"/><Relationship Id="rId12" Type="http://schemas.openxmlformats.org/officeDocument/2006/relationships/hyperlink" Target="https://app.leg.wa.gov/RCW/default.aspx?cite=28A.600.420" TargetMode="External"/><Relationship Id="rId17" Type="http://schemas.openxmlformats.org/officeDocument/2006/relationships/hyperlink" Target="http://www2.ed.gov/policy/rights/reg/ocr/edlite-34cfr106.html" TargetMode="External"/><Relationship Id="rId25" Type="http://schemas.openxmlformats.org/officeDocument/2006/relationships/hyperlink" Target="https://apps.leg.wa.gov/wac/default.aspx?cite=392-400-810" TargetMode="External"/><Relationship Id="rId33" Type="http://schemas.openxmlformats.org/officeDocument/2006/relationships/hyperlink" Target="https://apps.leg.wa.gov/RCW/default.aspx?cite=9A.04.110" TargetMode="External"/><Relationship Id="rId38" Type="http://schemas.openxmlformats.org/officeDocument/2006/relationships/hyperlink" Target="https://apps.leg.wa.gov/rcw/default.aspx?cite=28A.642" TargetMode="External"/><Relationship Id="rId46" Type="http://schemas.openxmlformats.org/officeDocument/2006/relationships/hyperlink" Target="https://apps.leg.wa.gov/rcw/default.aspx?cite=28A.600.015" TargetMode="External"/><Relationship Id="rId2" Type="http://schemas.openxmlformats.org/officeDocument/2006/relationships/hyperlink" Target="https://apps.leg.wa.gov/rcw/default.aspx?cite=28A.600.015" TargetMode="External"/><Relationship Id="rId16" Type="http://schemas.openxmlformats.org/officeDocument/2006/relationships/hyperlink" Target="https://app.leg.wa.gov/RCW/default.aspx?cite=9.94A.030" TargetMode="External"/><Relationship Id="rId20" Type="http://schemas.openxmlformats.org/officeDocument/2006/relationships/hyperlink" Target="https://app.leg.wa.gov/RCW/default.aspx?cite=69.50" TargetMode="External"/><Relationship Id="rId29" Type="http://schemas.openxmlformats.org/officeDocument/2006/relationships/hyperlink" Target="https://apps.leg.wa.gov/rcw/default.aspx?cite=28A.600.015" TargetMode="External"/><Relationship Id="rId41" Type="http://schemas.openxmlformats.org/officeDocument/2006/relationships/hyperlink" Target="http://app.leg.wa.gov/RCW/default.aspx?cite=9A.48.020" TargetMode="External"/><Relationship Id="rId54" Type="http://schemas.openxmlformats.org/officeDocument/2006/relationships/hyperlink" Target="https://app.leg.wa.gov/RCW/default.aspx?cite=28A.635.060" TargetMode="External"/><Relationship Id="rId1" Type="http://schemas.openxmlformats.org/officeDocument/2006/relationships/hyperlink" Target="https://apps.leg.wa.gov/wac/default.aspx?cite=392-400-110" TargetMode="External"/><Relationship Id="rId6" Type="http://schemas.openxmlformats.org/officeDocument/2006/relationships/hyperlink" Target="https://apps.leg.wa.gov/wac/default.aspx?cite=392-400" TargetMode="External"/><Relationship Id="rId11" Type="http://schemas.openxmlformats.org/officeDocument/2006/relationships/hyperlink" Target="https://apps.leg.wa.gov/wac/default.aspx?cite=392-400-820" TargetMode="External"/><Relationship Id="rId24" Type="http://schemas.openxmlformats.org/officeDocument/2006/relationships/hyperlink" Target="https://app.leg.wa.gov/RCW/default.aspx?cite=9A.56.210" TargetMode="External"/><Relationship Id="rId32" Type="http://schemas.openxmlformats.org/officeDocument/2006/relationships/hyperlink" Target="http://app.leg.wa.gov/RCW/default.aspx?cite=9A.36.021" TargetMode="External"/><Relationship Id="rId37" Type="http://schemas.openxmlformats.org/officeDocument/2006/relationships/hyperlink" Target="http://apps.leg.wa.gov/rcw/default.aspx?cite=28A.640" TargetMode="External"/><Relationship Id="rId40" Type="http://schemas.openxmlformats.org/officeDocument/2006/relationships/hyperlink" Target="https://app.leg.wa.gov/RCW/default.aspx?cite=9A.46.020" TargetMode="External"/><Relationship Id="rId45" Type="http://schemas.openxmlformats.org/officeDocument/2006/relationships/hyperlink" Target="https://app.leg.wa.gov/RCW/default.aspx?cite=28A.600.455" TargetMode="External"/><Relationship Id="rId53" Type="http://schemas.openxmlformats.org/officeDocument/2006/relationships/hyperlink" Target="https://apps.leg.wa.gov/rcw/default.aspx?cite=28A.210.310" TargetMode="External"/><Relationship Id="rId5" Type="http://schemas.openxmlformats.org/officeDocument/2006/relationships/hyperlink" Target="https://apps.leg.wa.gov/rcw/default.aspx?cite=28A.600.015" TargetMode="External"/><Relationship Id="rId15" Type="http://schemas.openxmlformats.org/officeDocument/2006/relationships/hyperlink" Target="https://apps.leg.wa.gov/WAC/default.aspx?cite=392-172A-05149" TargetMode="External"/><Relationship Id="rId23" Type="http://schemas.openxmlformats.org/officeDocument/2006/relationships/hyperlink" Target="https://app.leg.wa.gov/RCW/default.aspx?cite=9A.56.200" TargetMode="External"/><Relationship Id="rId28" Type="http://schemas.openxmlformats.org/officeDocument/2006/relationships/hyperlink" Target="https://app.leg.wa.gov/RCW/default.aspx?cite=28A.600.460" TargetMode="External"/><Relationship Id="rId36" Type="http://schemas.openxmlformats.org/officeDocument/2006/relationships/hyperlink" Target="https://apps.leg.wa.gov/wac/default.aspx?cite=392-190-056" TargetMode="External"/><Relationship Id="rId49" Type="http://schemas.openxmlformats.org/officeDocument/2006/relationships/hyperlink" Target="http://app.leg.wa.gov/rcw/default.aspx?cite=28A.600.477" TargetMode="External"/><Relationship Id="rId57" Type="http://schemas.openxmlformats.org/officeDocument/2006/relationships/hyperlink" Target="https://app.leg.wa.gov/rcw/default.aspx?cite=28A.642" TargetMode="External"/><Relationship Id="rId10" Type="http://schemas.openxmlformats.org/officeDocument/2006/relationships/hyperlink" Target="https://www2.ed.gov/about/offices/list/osdfs/gfsa.html" TargetMode="External"/><Relationship Id="rId19" Type="http://schemas.openxmlformats.org/officeDocument/2006/relationships/hyperlink" Target="http://apps.leg.wa.gov/wac/default.aspx?cite=392-190" TargetMode="External"/><Relationship Id="rId31" Type="http://schemas.openxmlformats.org/officeDocument/2006/relationships/hyperlink" Target="http://app.leg.wa.gov/RCW/default.aspx?cite=9A.36.011" TargetMode="External"/><Relationship Id="rId44" Type="http://schemas.openxmlformats.org/officeDocument/2006/relationships/hyperlink" Target="https://app.leg.wa.gov/RCW/default.aspx?cite=9A.46.120" TargetMode="External"/><Relationship Id="rId52" Type="http://schemas.openxmlformats.org/officeDocument/2006/relationships/hyperlink" Target="https://app.leg.wa.gov/RCW/default.aspx?cite=69.50" TargetMode="External"/><Relationship Id="rId4" Type="http://schemas.openxmlformats.org/officeDocument/2006/relationships/hyperlink" Target="https://apps.leg.wa.gov/wac/default.aspx?cite=392-400-445" TargetMode="External"/><Relationship Id="rId9" Type="http://schemas.openxmlformats.org/officeDocument/2006/relationships/hyperlink" Target="https://apps.leg.wa.gov/wac/default.aspx?cite=392-400-110" TargetMode="External"/><Relationship Id="rId14" Type="http://schemas.openxmlformats.org/officeDocument/2006/relationships/hyperlink" Target="http://app.leg.wa.gov/RCW/default.aspx?cite=9A.36.021" TargetMode="External"/><Relationship Id="rId22" Type="http://schemas.openxmlformats.org/officeDocument/2006/relationships/hyperlink" Target="http://app.leg.wa.gov/RCW/default.aspx?cite=9A.56.190" TargetMode="External"/><Relationship Id="rId27" Type="http://schemas.openxmlformats.org/officeDocument/2006/relationships/hyperlink" Target="https://apps.leg.wa.gov/WAC/default.aspx?cite=392-172A-05149" TargetMode="External"/><Relationship Id="rId30" Type="http://schemas.openxmlformats.org/officeDocument/2006/relationships/hyperlink" Target="https://apps.leg.wa.gov/wac/default.aspx?cite=392-400-445" TargetMode="External"/><Relationship Id="rId35" Type="http://schemas.openxmlformats.org/officeDocument/2006/relationships/hyperlink" Target="https://app.leg.wa.gov/RCW/default.aspx?cite=28A.640.020" TargetMode="External"/><Relationship Id="rId43" Type="http://schemas.openxmlformats.org/officeDocument/2006/relationships/hyperlink" Target="https://app.leg.wa.gov/RCW/default.aspx?cite=69.50" TargetMode="External"/><Relationship Id="rId48" Type="http://schemas.openxmlformats.org/officeDocument/2006/relationships/hyperlink" Target="https://app.leg.wa.gov/rcw/default.aspx?cite=28A.600.477" TargetMode="External"/><Relationship Id="rId56" Type="http://schemas.openxmlformats.org/officeDocument/2006/relationships/hyperlink" Target="https://app.leg.wa.gov/rcw/default.aspx?cite=28A.640" TargetMode="External"/><Relationship Id="rId8" Type="http://schemas.openxmlformats.org/officeDocument/2006/relationships/hyperlink" Target="https://apps.leg.wa.gov/wac/default.aspx?cite=392-400-430" TargetMode="External"/><Relationship Id="rId51" Type="http://schemas.openxmlformats.org/officeDocument/2006/relationships/hyperlink" Target="https://app.leg.wa.gov/RCW/default.aspx?cite=69.50" TargetMode="External"/><Relationship Id="rId3" Type="http://schemas.openxmlformats.org/officeDocument/2006/relationships/hyperlink" Target="https://apps.leg.wa.gov/wac/default.aspx?cite=392-40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8A37-8672-42E6-A037-C8C7D307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2021-02-27T00:24:00Z</dcterms:created>
  <dcterms:modified xsi:type="dcterms:W3CDTF">2021-02-27T00:24:00Z</dcterms:modified>
</cp:coreProperties>
</file>